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FJKZB-6116072024</w:t>
      </w:r>
    </w:p>
    <w:p>
      <w:pPr>
        <w:pStyle w:val="10"/>
        <w:spacing w:line="640" w:lineRule="exact"/>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福建省女子监狱执法记录仪采购项目</w:t>
      </w:r>
    </w:p>
    <w:p>
      <w:pPr>
        <w:pStyle w:val="10"/>
        <w:spacing w:line="640" w:lineRule="exact"/>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4"/>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eastAsia="zh-CN"/>
        </w:rPr>
        <w:t>八</w:t>
      </w:r>
      <w:r>
        <w:rPr>
          <w:rFonts w:hint="eastAsia" w:ascii="宋体" w:hAnsi="宋体"/>
          <w:b/>
          <w:sz w:val="32"/>
          <w:szCs w:val="32"/>
        </w:rPr>
        <w:t>月</w:t>
      </w:r>
    </w:p>
    <w:p>
      <w:pPr>
        <w:pStyle w:val="8"/>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b w:val="0"/>
          <w:kern w:val="0"/>
          <w:sz w:val="24"/>
          <w:szCs w:val="24"/>
          <w:u w:val="single"/>
          <w:lang w:eastAsia="zh-CN"/>
        </w:rPr>
        <w:t>福建省女子监狱执法记录仪采购项目</w:t>
      </w:r>
      <w:r>
        <w:rPr>
          <w:rFonts w:hint="eastAsia" w:ascii="宋体" w:hAnsi="宋体" w:cs="宋体"/>
          <w:kern w:val="0"/>
          <w:sz w:val="24"/>
          <w:u w:val="single"/>
        </w:rPr>
        <w:t>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FJKZB-6116072024</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2.项目名称：</w:t>
      </w:r>
      <w:r>
        <w:rPr>
          <w:rFonts w:hint="eastAsia" w:ascii="宋体" w:hAnsi="宋体" w:cs="宋体"/>
          <w:b/>
          <w:bCs/>
          <w:kern w:val="0"/>
          <w:sz w:val="24"/>
          <w:szCs w:val="24"/>
          <w:u w:val="none"/>
          <w:lang w:eastAsia="zh-CN"/>
        </w:rPr>
        <w:t>福建省女子监狱执法记录仪采购项目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ascii="宋体" w:hAnsi="宋体" w:cs="宋体"/>
          <w:color w:val="auto"/>
          <w:kern w:val="0"/>
          <w:sz w:val="24"/>
          <w:highlight w:val="none"/>
        </w:rPr>
      </w:pPr>
      <w:bookmarkStart w:id="0" w:name="OLE_LINK2"/>
      <w:bookmarkStart w:id="1" w:name="_Toc21403"/>
      <w:r>
        <w:rPr>
          <w:rFonts w:hint="eastAsia" w:ascii="宋体" w:hAnsi="宋体" w:cs="宋体"/>
          <w:color w:val="auto"/>
          <w:kern w:val="0"/>
          <w:sz w:val="24"/>
          <w:highlight w:val="none"/>
        </w:rPr>
        <w:t>报名开始时间：2024年</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报名截止时间：2024年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网上竞价开始时间：</w:t>
      </w:r>
      <w:bookmarkStart w:id="2" w:name="OLE_LINK1"/>
      <w:r>
        <w:rPr>
          <w:rFonts w:hint="eastAsia" w:ascii="宋体" w:hAnsi="宋体" w:cs="宋体"/>
          <w:color w:val="auto"/>
          <w:kern w:val="0"/>
          <w:sz w:val="24"/>
          <w:highlight w:val="none"/>
        </w:rPr>
        <w:t>2024年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bookmarkStart w:id="26" w:name="_GoBack"/>
      <w:bookmarkEnd w:id="26"/>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日</w:t>
      </w:r>
      <w:bookmarkEnd w:id="2"/>
      <w:r>
        <w:rPr>
          <w:rFonts w:hint="eastAsia" w:ascii="宋体" w:hAnsi="宋体" w:cs="宋体"/>
          <w:color w:val="auto"/>
          <w:kern w:val="0"/>
          <w:sz w:val="24"/>
          <w:highlight w:val="none"/>
        </w:rPr>
        <w:t xml:space="preserve"> 09:30:00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网上竞价截止时间：2024年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日 11:30:00</w:t>
      </w:r>
    </w:p>
    <w:bookmarkEnd w:id="0"/>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30"/>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1"/>
        </w:rPr>
      </w:pPr>
      <w:r>
        <w:rPr>
          <w:rStyle w:val="31"/>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w:t>
      </w:r>
      <w:r>
        <w:rPr>
          <w:rFonts w:hint="eastAsia" w:ascii="宋体" w:hAnsi="宋体" w:cs="宋体"/>
          <w:sz w:val="24"/>
          <w:lang w:val="en-US" w:eastAsia="zh-CN"/>
        </w:rPr>
        <w:t>4526</w:t>
      </w:r>
      <w:r>
        <w:rPr>
          <w:rFonts w:hint="eastAsia" w:ascii="宋体" w:hAnsi="宋体" w:cs="宋体"/>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采购人：福建省女子监狱</w:t>
      </w:r>
    </w:p>
    <w:p>
      <w:pPr>
        <w:spacing w:line="360" w:lineRule="auto"/>
        <w:ind w:firstLine="480" w:firstLineChars="200"/>
        <w:rPr>
          <w:rFonts w:ascii="宋体" w:hAnsi="宋体"/>
          <w:sz w:val="24"/>
        </w:rPr>
      </w:pPr>
      <w:r>
        <w:rPr>
          <w:rFonts w:hint="eastAsia" w:ascii="宋体" w:hAnsi="宋体"/>
          <w:sz w:val="24"/>
        </w:rPr>
        <w:t>地  址：福州市闽侯县南屿镇新南大道156号</w:t>
      </w:r>
    </w:p>
    <w:p>
      <w:pPr>
        <w:spacing w:line="360" w:lineRule="auto"/>
        <w:ind w:firstLine="480" w:firstLineChars="200"/>
        <w:rPr>
          <w:rFonts w:hint="default" w:ascii="宋体" w:hAnsi="宋体" w:eastAsia="宋体" w:cs="宋体"/>
          <w:sz w:val="24"/>
          <w:lang w:val="en-US" w:eastAsia="zh-CN"/>
        </w:rPr>
      </w:pPr>
      <w:r>
        <w:rPr>
          <w:rFonts w:hint="eastAsia" w:ascii="宋体" w:hAnsi="宋体"/>
          <w:sz w:val="24"/>
        </w:rPr>
        <w:t>联</w:t>
      </w:r>
      <w:r>
        <w:rPr>
          <w:rFonts w:hint="eastAsia" w:ascii="宋体" w:hAnsi="宋体" w:cs="宋体"/>
          <w:sz w:val="24"/>
        </w:rPr>
        <w:t>系人及电话：</w:t>
      </w:r>
      <w:r>
        <w:rPr>
          <w:rFonts w:hint="eastAsia" w:ascii="宋体" w:hAnsi="宋体" w:cs="宋体"/>
          <w:sz w:val="24"/>
          <w:lang w:eastAsia="zh-CN"/>
        </w:rPr>
        <w:t>庄</w:t>
      </w:r>
      <w:r>
        <w:rPr>
          <w:rFonts w:hint="eastAsia" w:ascii="宋体" w:hAnsi="宋体" w:cs="宋体"/>
          <w:sz w:val="24"/>
        </w:rPr>
        <w:t>警官</w:t>
      </w:r>
      <w:r>
        <w:rPr>
          <w:rFonts w:hint="eastAsia" w:ascii="宋体" w:hAnsi="宋体" w:cs="宋体"/>
          <w:sz w:val="24"/>
          <w:highlight w:val="none"/>
        </w:rPr>
        <w:t>、05</w:t>
      </w:r>
      <w:r>
        <w:rPr>
          <w:rFonts w:hint="eastAsia" w:ascii="宋体" w:hAnsi="宋体" w:cs="Times New Roman"/>
          <w:sz w:val="24"/>
          <w:highlight w:val="none"/>
        </w:rPr>
        <w:t>91-23507197</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蔡海敏</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1"/>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1"/>
          <w:rFonts w:ascii="宋体" w:hAnsi="宋体"/>
          <w:b/>
          <w:bCs/>
          <w:kern w:val="0"/>
          <w:sz w:val="24"/>
        </w:rPr>
      </w:pPr>
      <w:r>
        <w:rPr>
          <w:rStyle w:val="31"/>
          <w:rFonts w:hint="eastAsia" w:ascii="宋体" w:hAnsi="宋体"/>
          <w:b/>
          <w:bCs/>
          <w:kern w:val="0"/>
          <w:sz w:val="24"/>
        </w:rPr>
        <w:t>二、报名须知</w:t>
      </w:r>
    </w:p>
    <w:p>
      <w:pPr>
        <w:widowControl/>
        <w:spacing w:line="360" w:lineRule="auto"/>
        <w:ind w:firstLine="480" w:firstLineChars="200"/>
        <w:jc w:val="left"/>
        <w:rPr>
          <w:rStyle w:val="31"/>
          <w:rFonts w:ascii="宋体" w:hAnsi="宋体" w:cs="宋体"/>
          <w:kern w:val="0"/>
          <w:sz w:val="24"/>
        </w:rPr>
      </w:pPr>
      <w:r>
        <w:rPr>
          <w:rStyle w:val="31"/>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5"/>
          <w:rFonts w:ascii="宋体" w:hAnsi="宋体" w:cs="宋体"/>
          <w:color w:val="auto"/>
          <w:sz w:val="24"/>
        </w:rPr>
        <w:t>http://121.42.9.114:8083/</w:t>
      </w:r>
      <w:r>
        <w:rPr>
          <w:rStyle w:val="25"/>
          <w:rFonts w:ascii="宋体" w:hAnsi="宋体" w:cs="宋体"/>
          <w:color w:val="auto"/>
          <w:sz w:val="24"/>
        </w:rPr>
        <w:fldChar w:fldCharType="end"/>
      </w:r>
      <w:r>
        <w:rPr>
          <w:rStyle w:val="31"/>
          <w:rFonts w:hint="eastAsia" w:ascii="宋体" w:hAnsi="宋体" w:cs="宋体"/>
          <w:kern w:val="0"/>
          <w:sz w:val="24"/>
        </w:rPr>
        <w:t>）上进行注册、报名（上传响应文件）、网上竞价等相关操作，具体操作指南详见网上竞价平台（网址：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kern w:val="0"/>
          <w:sz w:val="24"/>
        </w:rPr>
        <w:t>）</w:t>
      </w:r>
      <w:r>
        <w:rPr>
          <w:rStyle w:val="31"/>
          <w:rFonts w:hint="eastAsia" w:ascii="宋体" w:hAnsi="宋体" w:cs="宋体"/>
          <w:b/>
          <w:bCs/>
          <w:kern w:val="0"/>
          <w:sz w:val="24"/>
        </w:rPr>
        <w:t>。</w:t>
      </w:r>
      <w:r>
        <w:rPr>
          <w:rStyle w:val="31"/>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1"/>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31"/>
          <w:rFonts w:ascii="Times New Roman" w:hAnsi="Times New Roman" w:cs="Times New Roman"/>
          <w:b/>
          <w:bCs/>
          <w:sz w:val="24"/>
        </w:rPr>
      </w:pPr>
      <w:r>
        <w:rPr>
          <w:rFonts w:hint="eastAsia"/>
        </w:rPr>
        <w:t>3.</w:t>
      </w:r>
      <w:r>
        <w:rPr>
          <w:rStyle w:val="31"/>
          <w:rFonts w:hint="eastAsia"/>
          <w:sz w:val="24"/>
        </w:rPr>
        <w:t>供应商提交的响应文件符合网上竞价文件要求的（即不存在网上竞价文件中规定的无效响应情形的）方可在网上竞价时间内参与竞价</w:t>
      </w:r>
      <w:r>
        <w:rPr>
          <w:rStyle w:val="31"/>
          <w:sz w:val="24"/>
        </w:rPr>
        <w:t>。</w:t>
      </w:r>
      <w:r>
        <w:rPr>
          <w:rStyle w:val="31"/>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1"/>
          <w:rFonts w:ascii="Times New Roman" w:hAnsi="Times New Roman" w:cs="Times New Roman"/>
        </w:rPr>
        <w:t>力</w:t>
      </w:r>
      <w:r>
        <w:rPr>
          <w:rStyle w:val="31"/>
          <w:rFonts w:hint="eastAsia" w:ascii="Times New Roman" w:hAnsi="Times New Roman" w:cs="Times New Roman"/>
          <w:sz w:val="24"/>
        </w:rPr>
        <w:t>。</w:t>
      </w:r>
      <w:r>
        <w:rPr>
          <w:rStyle w:val="31"/>
          <w:rFonts w:hint="eastAsia" w:ascii="Times New Roman" w:hAnsi="Times New Roman" w:cs="Times New Roman"/>
          <w:b/>
          <w:bCs/>
          <w:sz w:val="24"/>
        </w:rPr>
        <w:t>若合格供应商数量不足三家的（除“</w:t>
      </w:r>
      <w:r>
        <w:rPr>
          <w:rStyle w:val="31"/>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sz w:val="24"/>
        </w:rPr>
        <w:t>”情形外），</w:t>
      </w:r>
      <w:r>
        <w:rPr>
          <w:rStyle w:val="31"/>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1"/>
          <w:rFonts w:hint="eastAsia" w:ascii="宋体" w:hAnsi="宋体"/>
          <w:b/>
          <w:bCs/>
          <w:kern w:val="0"/>
          <w:sz w:val="24"/>
        </w:rPr>
        <w:t>三、网上</w:t>
      </w:r>
      <w:r>
        <w:rPr>
          <w:rStyle w:val="31"/>
          <w:rFonts w:ascii="宋体" w:hAnsi="宋体"/>
          <w:b/>
          <w:bCs/>
          <w:kern w:val="0"/>
          <w:sz w:val="24"/>
        </w:rPr>
        <w:t>竞价规则</w:t>
      </w:r>
    </w:p>
    <w:p>
      <w:pPr>
        <w:pStyle w:val="15"/>
        <w:spacing w:before="75" w:beforeAutospacing="0" w:after="75" w:afterAutospacing="0" w:line="360" w:lineRule="auto"/>
        <w:ind w:firstLine="480"/>
        <w:rPr>
          <w:rStyle w:val="31"/>
          <w:kern w:val="0"/>
          <w:sz w:val="24"/>
        </w:rPr>
      </w:pPr>
      <w:r>
        <w:rPr>
          <w:rFonts w:hint="eastAsia"/>
        </w:rPr>
        <w:t>1.</w:t>
      </w:r>
      <w:r>
        <w:rPr>
          <w:rStyle w:val="31"/>
          <w:kern w:val="0"/>
          <w:sz w:val="24"/>
        </w:rPr>
        <w:t>网上竞价的报价时限为</w:t>
      </w:r>
      <w:r>
        <w:rPr>
          <w:rStyle w:val="31"/>
          <w:rFonts w:hint="eastAsia"/>
          <w:kern w:val="0"/>
          <w:sz w:val="24"/>
        </w:rPr>
        <w:t>网上竞价开始时间起至网上竞价截止时间止，在此期间内</w:t>
      </w:r>
      <w:r>
        <w:rPr>
          <w:rStyle w:val="31"/>
          <w:kern w:val="0"/>
          <w:sz w:val="24"/>
        </w:rPr>
        <w:t>，报名审核</w:t>
      </w:r>
      <w:r>
        <w:rPr>
          <w:rStyle w:val="31"/>
          <w:rFonts w:hint="eastAsia"/>
          <w:kern w:val="0"/>
          <w:sz w:val="24"/>
        </w:rPr>
        <w:t>通过</w:t>
      </w:r>
      <w:r>
        <w:rPr>
          <w:rStyle w:val="31"/>
          <w:kern w:val="0"/>
          <w:sz w:val="24"/>
        </w:rPr>
        <w:t>的</w:t>
      </w:r>
      <w:r>
        <w:rPr>
          <w:rStyle w:val="31"/>
          <w:rFonts w:hint="eastAsia"/>
          <w:kern w:val="0"/>
          <w:sz w:val="24"/>
        </w:rPr>
        <w:t>供应商</w:t>
      </w:r>
      <w:r>
        <w:rPr>
          <w:rStyle w:val="31"/>
          <w:kern w:val="0"/>
          <w:sz w:val="24"/>
        </w:rPr>
        <w:t>可通过</w:t>
      </w:r>
      <w:r>
        <w:rPr>
          <w:rStyle w:val="31"/>
          <w:rFonts w:hint="eastAsia"/>
          <w:kern w:val="0"/>
          <w:sz w:val="24"/>
        </w:rPr>
        <w:t>网上竞价平台</w:t>
      </w:r>
      <w:r>
        <w:rPr>
          <w:rStyle w:val="31"/>
          <w:kern w:val="0"/>
          <w:sz w:val="24"/>
        </w:rPr>
        <w:t>参与</w:t>
      </w:r>
      <w:r>
        <w:rPr>
          <w:rStyle w:val="31"/>
          <w:rFonts w:hint="eastAsia"/>
          <w:kern w:val="0"/>
          <w:sz w:val="24"/>
        </w:rPr>
        <w:t>网上</w:t>
      </w:r>
      <w:r>
        <w:rPr>
          <w:rStyle w:val="31"/>
          <w:kern w:val="0"/>
          <w:sz w:val="24"/>
        </w:rPr>
        <w:t>竞价（不限报价次数，在规定时间内提交报价均可）。</w:t>
      </w:r>
      <w:r>
        <w:rPr>
          <w:rFonts w:hint="eastAsia"/>
          <w:b/>
          <w:bCs/>
        </w:rPr>
        <w:t>至网上竞价截止时间止，若提交报价的供应商数量不足三家的</w:t>
      </w:r>
      <w:r>
        <w:rPr>
          <w:rStyle w:val="31"/>
          <w:rFonts w:hint="eastAsia" w:ascii="Times New Roman" w:hAnsi="Times New Roman" w:cs="Times New Roman"/>
          <w:b/>
          <w:bCs/>
          <w:sz w:val="24"/>
        </w:rPr>
        <w:t>（除“</w:t>
      </w:r>
      <w:r>
        <w:rPr>
          <w:rStyle w:val="31"/>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1"/>
          <w:rFonts w:ascii="宋体" w:hAnsi="宋体"/>
          <w:kern w:val="0"/>
          <w:sz w:val="24"/>
        </w:rPr>
      </w:pPr>
      <w:r>
        <w:rPr>
          <w:rStyle w:val="31"/>
          <w:rFonts w:hint="eastAsia" w:ascii="宋体" w:hAnsi="宋体"/>
          <w:kern w:val="0"/>
          <w:sz w:val="24"/>
        </w:rPr>
        <w:t>2.供应商</w:t>
      </w:r>
      <w:r>
        <w:rPr>
          <w:rStyle w:val="31"/>
          <w:rFonts w:ascii="宋体" w:hAnsi="宋体"/>
          <w:kern w:val="0"/>
          <w:sz w:val="24"/>
        </w:rPr>
        <w:t>首次提交的报价</w:t>
      </w:r>
      <w:r>
        <w:rPr>
          <w:rStyle w:val="31"/>
          <w:rFonts w:hint="eastAsia" w:ascii="宋体" w:hAnsi="宋体"/>
          <w:kern w:val="0"/>
          <w:sz w:val="24"/>
        </w:rPr>
        <w:t>总价</w:t>
      </w:r>
      <w:r>
        <w:rPr>
          <w:rStyle w:val="31"/>
          <w:rFonts w:ascii="宋体" w:hAnsi="宋体"/>
          <w:kern w:val="0"/>
          <w:sz w:val="24"/>
        </w:rPr>
        <w:t>须</w:t>
      </w:r>
      <w:r>
        <w:rPr>
          <w:rStyle w:val="31"/>
          <w:rFonts w:hint="eastAsia" w:ascii="宋体" w:hAnsi="宋体"/>
          <w:kern w:val="0"/>
          <w:sz w:val="24"/>
        </w:rPr>
        <w:t>低于</w:t>
      </w:r>
      <w:r>
        <w:rPr>
          <w:rStyle w:val="31"/>
          <w:rFonts w:ascii="宋体" w:hAnsi="宋体"/>
          <w:kern w:val="0"/>
          <w:sz w:val="24"/>
        </w:rPr>
        <w:t>本项目</w:t>
      </w:r>
      <w:r>
        <w:rPr>
          <w:rStyle w:val="31"/>
          <w:rFonts w:hint="eastAsia" w:ascii="宋体" w:hAnsi="宋体"/>
          <w:kern w:val="0"/>
          <w:sz w:val="24"/>
        </w:rPr>
        <w:t>总价</w:t>
      </w:r>
      <w:r>
        <w:rPr>
          <w:rStyle w:val="31"/>
          <w:rFonts w:ascii="宋体" w:hAnsi="宋体"/>
          <w:kern w:val="0"/>
          <w:sz w:val="24"/>
        </w:rPr>
        <w:t>最高限价</w:t>
      </w:r>
      <w:r>
        <w:rPr>
          <w:rStyle w:val="31"/>
          <w:rFonts w:hint="eastAsia" w:ascii="宋体" w:hAnsi="宋体"/>
          <w:kern w:val="0"/>
          <w:sz w:val="24"/>
        </w:rPr>
        <w:t>的</w:t>
      </w:r>
      <w:r>
        <w:rPr>
          <w:rStyle w:val="31"/>
          <w:rFonts w:ascii="宋体" w:hAnsi="宋体"/>
          <w:kern w:val="0"/>
          <w:sz w:val="24"/>
        </w:rPr>
        <w:t>3%</w:t>
      </w:r>
      <w:r>
        <w:rPr>
          <w:rStyle w:val="31"/>
          <w:rFonts w:hint="eastAsia" w:ascii="宋体" w:hAnsi="宋体"/>
          <w:kern w:val="0"/>
          <w:sz w:val="24"/>
        </w:rPr>
        <w:t>以上（不含</w:t>
      </w:r>
      <w:r>
        <w:rPr>
          <w:rStyle w:val="31"/>
          <w:rFonts w:ascii="宋体" w:hAnsi="宋体"/>
          <w:kern w:val="0"/>
          <w:sz w:val="24"/>
        </w:rPr>
        <w:t>3%</w:t>
      </w:r>
      <w:r>
        <w:rPr>
          <w:rStyle w:val="31"/>
          <w:rFonts w:hint="eastAsia" w:ascii="宋体" w:hAnsi="宋体"/>
          <w:kern w:val="0"/>
          <w:sz w:val="24"/>
        </w:rPr>
        <w:t>）</w:t>
      </w:r>
      <w:r>
        <w:rPr>
          <w:rStyle w:val="31"/>
          <w:rFonts w:ascii="宋体" w:hAnsi="宋体"/>
          <w:kern w:val="0"/>
          <w:sz w:val="24"/>
        </w:rPr>
        <w:t>，否则</w:t>
      </w:r>
      <w:r>
        <w:rPr>
          <w:rStyle w:val="31"/>
          <w:rFonts w:ascii="宋体" w:hAnsi="宋体" w:cs="宋体"/>
          <w:kern w:val="0"/>
          <w:sz w:val="24"/>
        </w:rPr>
        <w:t>视为无效报价</w:t>
      </w:r>
      <w:r>
        <w:rPr>
          <w:rStyle w:val="31"/>
          <w:rFonts w:ascii="宋体" w:hAnsi="宋体"/>
          <w:kern w:val="0"/>
          <w:sz w:val="24"/>
        </w:rPr>
        <w:t>。在</w:t>
      </w:r>
      <w:r>
        <w:rPr>
          <w:rStyle w:val="31"/>
          <w:rFonts w:hint="eastAsia" w:ascii="宋体" w:hAnsi="宋体"/>
          <w:kern w:val="0"/>
          <w:sz w:val="24"/>
        </w:rPr>
        <w:t>网上竞价时间</w:t>
      </w:r>
      <w:r>
        <w:rPr>
          <w:rStyle w:val="31"/>
          <w:rFonts w:ascii="宋体" w:hAnsi="宋体"/>
          <w:kern w:val="0"/>
          <w:sz w:val="24"/>
        </w:rPr>
        <w:t>内</w:t>
      </w:r>
      <w:r>
        <w:rPr>
          <w:rStyle w:val="31"/>
          <w:rFonts w:hint="eastAsia" w:ascii="宋体" w:hAnsi="宋体"/>
          <w:kern w:val="0"/>
          <w:sz w:val="24"/>
        </w:rPr>
        <w:t>、同一供应商有</w:t>
      </w:r>
      <w:r>
        <w:rPr>
          <w:rStyle w:val="31"/>
          <w:rFonts w:ascii="宋体" w:hAnsi="宋体"/>
          <w:kern w:val="0"/>
          <w:sz w:val="24"/>
        </w:rPr>
        <w:t>多次报价的</w:t>
      </w:r>
      <w:r>
        <w:rPr>
          <w:rStyle w:val="31"/>
          <w:rFonts w:hint="eastAsia" w:ascii="宋体" w:hAnsi="宋体"/>
          <w:kern w:val="0"/>
          <w:sz w:val="24"/>
        </w:rPr>
        <w:t>情况下</w:t>
      </w:r>
      <w:r>
        <w:rPr>
          <w:rStyle w:val="31"/>
          <w:rFonts w:ascii="宋体" w:hAnsi="宋体"/>
          <w:kern w:val="0"/>
          <w:sz w:val="24"/>
        </w:rPr>
        <w:t>，</w:t>
      </w:r>
      <w:r>
        <w:rPr>
          <w:rStyle w:val="31"/>
          <w:rFonts w:hint="eastAsia" w:ascii="宋体" w:hAnsi="宋体"/>
          <w:kern w:val="0"/>
          <w:sz w:val="24"/>
        </w:rPr>
        <w:t>则该供应商的每一次</w:t>
      </w:r>
      <w:r>
        <w:rPr>
          <w:rStyle w:val="31"/>
          <w:rFonts w:ascii="宋体" w:hAnsi="宋体"/>
          <w:kern w:val="0"/>
          <w:sz w:val="24"/>
        </w:rPr>
        <w:t>报价金额必须小于自己上一次的报价金额，</w:t>
      </w:r>
      <w:r>
        <w:rPr>
          <w:rStyle w:val="31"/>
          <w:rFonts w:hint="eastAsia" w:ascii="宋体" w:hAnsi="宋体"/>
          <w:kern w:val="0"/>
          <w:sz w:val="24"/>
        </w:rPr>
        <w:t>同时以该供应商</w:t>
      </w:r>
      <w:r>
        <w:rPr>
          <w:rStyle w:val="31"/>
          <w:rFonts w:ascii="宋体" w:hAnsi="宋体"/>
          <w:kern w:val="0"/>
          <w:sz w:val="24"/>
        </w:rPr>
        <w:t>提交的最后一次报价作为</w:t>
      </w:r>
      <w:r>
        <w:rPr>
          <w:rStyle w:val="31"/>
          <w:rFonts w:hint="eastAsia" w:ascii="宋体" w:hAnsi="宋体"/>
          <w:kern w:val="0"/>
          <w:sz w:val="24"/>
        </w:rPr>
        <w:t>其最终有效报价</w:t>
      </w:r>
      <w:r>
        <w:rPr>
          <w:rStyle w:val="31"/>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1"/>
          <w:rFonts w:ascii="宋体" w:hAnsi="宋体"/>
          <w:kern w:val="0"/>
          <w:sz w:val="24"/>
        </w:rPr>
      </w:pPr>
      <w:r>
        <w:rPr>
          <w:rFonts w:hint="eastAsia" w:ascii="宋体" w:hAnsi="宋体" w:cs="宋体"/>
          <w:sz w:val="24"/>
        </w:rPr>
        <w:t>1.</w:t>
      </w:r>
      <w:r>
        <w:rPr>
          <w:rStyle w:val="31"/>
          <w:rFonts w:hint="eastAsia" w:ascii="宋体" w:hAnsi="宋体"/>
          <w:kern w:val="0"/>
          <w:sz w:val="24"/>
        </w:rPr>
        <w:t>供应商</w:t>
      </w:r>
      <w:r>
        <w:rPr>
          <w:rStyle w:val="31"/>
          <w:rFonts w:ascii="宋体" w:hAnsi="宋体"/>
          <w:kern w:val="0"/>
          <w:sz w:val="24"/>
        </w:rPr>
        <w:t>在</w:t>
      </w:r>
      <w:r>
        <w:rPr>
          <w:rStyle w:val="31"/>
          <w:rFonts w:hint="eastAsia" w:ascii="宋体" w:hAnsi="宋体"/>
          <w:kern w:val="0"/>
          <w:sz w:val="24"/>
        </w:rPr>
        <w:t>完全满足网上竞价文件要求</w:t>
      </w:r>
      <w:r>
        <w:rPr>
          <w:rStyle w:val="31"/>
          <w:rFonts w:ascii="宋体" w:hAnsi="宋体"/>
          <w:kern w:val="0"/>
          <w:sz w:val="24"/>
        </w:rPr>
        <w:t>且报价有效的前提下，</w:t>
      </w:r>
      <w:r>
        <w:rPr>
          <w:rStyle w:val="31"/>
          <w:rFonts w:hint="eastAsia" w:ascii="宋体" w:hAnsi="宋体"/>
          <w:kern w:val="0"/>
          <w:sz w:val="24"/>
        </w:rPr>
        <w:t>最终有效报价</w:t>
      </w:r>
      <w:r>
        <w:rPr>
          <w:rStyle w:val="31"/>
          <w:rFonts w:ascii="宋体" w:hAnsi="宋体"/>
          <w:kern w:val="0"/>
          <w:sz w:val="24"/>
        </w:rPr>
        <w:t>最低者</w:t>
      </w:r>
      <w:r>
        <w:rPr>
          <w:rStyle w:val="31"/>
          <w:rFonts w:hint="eastAsia" w:ascii="宋体" w:hAnsi="宋体"/>
          <w:kern w:val="0"/>
          <w:sz w:val="24"/>
        </w:rPr>
        <w:t>为</w:t>
      </w:r>
      <w:r>
        <w:rPr>
          <w:rStyle w:val="31"/>
          <w:rFonts w:ascii="宋体" w:hAnsi="宋体"/>
          <w:kern w:val="0"/>
          <w:sz w:val="24"/>
        </w:rPr>
        <w:t>成交</w:t>
      </w:r>
      <w:r>
        <w:rPr>
          <w:rStyle w:val="31"/>
          <w:rFonts w:hint="eastAsia" w:ascii="宋体" w:hAnsi="宋体"/>
          <w:kern w:val="0"/>
          <w:sz w:val="24"/>
        </w:rPr>
        <w:t>候选人</w:t>
      </w:r>
      <w:r>
        <w:rPr>
          <w:rStyle w:val="31"/>
          <w:rFonts w:ascii="宋体" w:hAnsi="宋体"/>
          <w:kern w:val="0"/>
          <w:sz w:val="24"/>
        </w:rPr>
        <w:t>，若</w:t>
      </w:r>
      <w:r>
        <w:rPr>
          <w:rStyle w:val="31"/>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1"/>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31"/>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31"/>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4"/>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1"/>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3" w:name="_Toc358016816"/>
      <w:bookmarkStart w:id="4" w:name="_Toc359317661"/>
      <w:bookmarkStart w:id="5" w:name="_Toc330567034"/>
      <w:bookmarkStart w:id="6" w:name="_Toc327948617"/>
      <w:bookmarkStart w:id="7" w:name="_Toc346300367"/>
      <w:bookmarkStart w:id="8" w:name="_Toc347060296"/>
      <w:r>
        <w:rPr>
          <w:rFonts w:hint="eastAsia" w:ascii="宋体" w:hAnsi="宋体" w:cs="宋体"/>
          <w:b/>
          <w:sz w:val="24"/>
        </w:rPr>
        <w:t>一、项目概述</w:t>
      </w:r>
      <w:bookmarkEnd w:id="3"/>
      <w:bookmarkEnd w:id="4"/>
    </w:p>
    <w:p>
      <w:pPr>
        <w:pStyle w:val="32"/>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099"/>
        <w:gridCol w:w="2365"/>
        <w:gridCol w:w="1819"/>
        <w:gridCol w:w="1101"/>
        <w:gridCol w:w="118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59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127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9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5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63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kern w:val="0"/>
                <w:sz w:val="24"/>
                <w:szCs w:val="22"/>
                <w:lang w:eastAsia="zh-CN"/>
              </w:rPr>
            </w:pPr>
            <w:r>
              <w:rPr>
                <w:rFonts w:hint="eastAsia" w:ascii="宋体" w:hAnsi="宋体"/>
                <w:b/>
                <w:bCs/>
                <w:kern w:val="0"/>
                <w:sz w:val="24"/>
                <w:szCs w:val="22"/>
                <w:lang w:eastAsia="zh-CN"/>
              </w:rPr>
              <w:t>单价最高限价</w:t>
            </w:r>
          </w:p>
        </w:tc>
        <w:tc>
          <w:tcPr>
            <w:tcW w:w="6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592" w:type="pct"/>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12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eastAsia="zh-CN"/>
              </w:rPr>
              <w:t>执法记录仪</w:t>
            </w:r>
          </w:p>
        </w:tc>
        <w:tc>
          <w:tcPr>
            <w:tcW w:w="979"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120台</w:t>
            </w:r>
          </w:p>
        </w:tc>
        <w:tc>
          <w:tcPr>
            <w:tcW w:w="593"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否</w:t>
            </w:r>
          </w:p>
        </w:tc>
        <w:tc>
          <w:tcPr>
            <w:tcW w:w="63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3640</w:t>
            </w:r>
          </w:p>
        </w:tc>
        <w:tc>
          <w:tcPr>
            <w:tcW w:w="677"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宋体"/>
                <w:color w:val="000000"/>
                <w:sz w:val="24"/>
                <w:highlight w:val="none"/>
                <w:lang w:val="en-US" w:eastAsia="zh-CN"/>
              </w:rPr>
              <w:t>452600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46"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592" w:type="pct"/>
            <w:vMerge w:val="continue"/>
            <w:tcBorders>
              <w:left w:val="single" w:color="auto" w:sz="4" w:space="0"/>
              <w:right w:val="single" w:color="auto" w:sz="4" w:space="0"/>
            </w:tcBorders>
            <w:vAlign w:val="center"/>
          </w:tcPr>
          <w:p>
            <w:pPr>
              <w:spacing w:line="360" w:lineRule="auto"/>
              <w:jc w:val="center"/>
              <w:rPr>
                <w:rFonts w:hint="eastAsia" w:ascii="宋体" w:hAnsi="宋体"/>
                <w:kern w:val="0"/>
                <w:sz w:val="24"/>
              </w:rPr>
            </w:pPr>
          </w:p>
        </w:tc>
        <w:tc>
          <w:tcPr>
            <w:tcW w:w="127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eastAsia="zh-CN"/>
              </w:rPr>
              <w:t>执法数据采集设备</w:t>
            </w:r>
          </w:p>
        </w:tc>
        <w:tc>
          <w:tcPr>
            <w:tcW w:w="979"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kern w:val="0"/>
                <w:sz w:val="24"/>
                <w:lang w:val="en-US" w:eastAsia="zh-CN"/>
              </w:rPr>
            </w:pPr>
            <w:r>
              <w:rPr>
                <w:rFonts w:hint="eastAsia" w:ascii="宋体" w:hAnsi="宋体" w:cs="新宋体"/>
                <w:kern w:val="0"/>
                <w:sz w:val="24"/>
                <w:lang w:val="en-US" w:eastAsia="zh-CN"/>
              </w:rPr>
              <w:t>1套</w:t>
            </w:r>
          </w:p>
        </w:tc>
        <w:tc>
          <w:tcPr>
            <w:tcW w:w="593"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kern w:val="0"/>
                <w:sz w:val="24"/>
                <w:highlight w:val="none"/>
              </w:rPr>
            </w:pPr>
          </w:p>
        </w:tc>
        <w:tc>
          <w:tcPr>
            <w:tcW w:w="63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15800</w:t>
            </w:r>
          </w:p>
        </w:tc>
        <w:tc>
          <w:tcPr>
            <w:tcW w:w="677" w:type="pct"/>
            <w:vMerge w:val="continue"/>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cs="宋体"/>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kern w:val="0"/>
                <w:sz w:val="24"/>
                <w:lang w:eastAsia="zh-CN"/>
              </w:rPr>
            </w:pPr>
            <w:r>
              <w:rPr>
                <w:rFonts w:hint="eastAsia" w:ascii="宋体" w:hAnsi="宋体"/>
                <w:kern w:val="0"/>
                <w:sz w:val="24"/>
              </w:rPr>
              <w:t>合计(大写)：人民币</w:t>
            </w:r>
            <w:r>
              <w:rPr>
                <w:rFonts w:hint="eastAsia" w:ascii="宋体" w:hAnsi="宋体"/>
                <w:kern w:val="0"/>
                <w:sz w:val="24"/>
                <w:lang w:val="en-US" w:eastAsia="zh-CN"/>
              </w:rPr>
              <w:t>肆拾伍万贰仟陆佰</w:t>
            </w:r>
            <w:r>
              <w:rPr>
                <w:rFonts w:hint="eastAsia" w:ascii="宋体" w:hAnsi="宋体"/>
                <w:kern w:val="0"/>
                <w:sz w:val="24"/>
              </w:rPr>
              <w:t>元</w:t>
            </w:r>
            <w:r>
              <w:rPr>
                <w:rFonts w:hint="eastAsia" w:ascii="宋体" w:hAnsi="宋体"/>
                <w:kern w:val="0"/>
                <w:sz w:val="24"/>
                <w:lang w:eastAsia="zh-CN"/>
              </w:rPr>
              <w:t>整</w:t>
            </w:r>
          </w:p>
        </w:tc>
        <w:tc>
          <w:tcPr>
            <w:tcW w:w="190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kern w:val="0"/>
                <w:sz w:val="24"/>
                <w:highlight w:val="none"/>
              </w:rPr>
            </w:pPr>
            <w:r>
              <w:rPr>
                <w:rFonts w:hint="eastAsia" w:ascii="宋体" w:hAnsi="宋体"/>
                <w:kern w:val="0"/>
                <w:sz w:val="24"/>
                <w:highlight w:val="none"/>
              </w:rPr>
              <w:t>¥</w:t>
            </w:r>
            <w:r>
              <w:rPr>
                <w:rFonts w:hint="eastAsia" w:ascii="宋体" w:hAnsi="宋体" w:cs="宋体"/>
                <w:color w:val="000000"/>
                <w:sz w:val="24"/>
                <w:highlight w:val="none"/>
                <w:lang w:val="en-US" w:eastAsia="zh-CN"/>
              </w:rPr>
              <w:t>452600</w:t>
            </w:r>
            <w:r>
              <w:rPr>
                <w:rFonts w:hint="eastAsia" w:ascii="宋体" w:hAnsi="宋体" w:cs="新宋体"/>
                <w:kern w:val="0"/>
                <w:sz w:val="24"/>
                <w:highlight w:val="none"/>
              </w:rPr>
              <w:t>.00</w:t>
            </w:r>
          </w:p>
        </w:tc>
      </w:tr>
    </w:tbl>
    <w:p>
      <w:pPr>
        <w:pStyle w:val="3"/>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3"/>
        <w:spacing w:beforeAutospacing="0" w:afterAutospacing="0" w:line="360" w:lineRule="auto"/>
        <w:ind w:firstLine="480" w:firstLineChars="200"/>
        <w:rPr>
          <w:rFonts w:cs="宋体"/>
          <w:b w:val="0"/>
          <w:bCs/>
          <w:sz w:val="24"/>
        </w:rPr>
      </w:pPr>
      <w:r>
        <w:rPr>
          <w:rFonts w:hint="eastAsia" w:cs="宋体"/>
          <w:b w:val="0"/>
          <w:bCs/>
          <w:sz w:val="24"/>
        </w:rPr>
        <w:t>3.本项目为</w:t>
      </w:r>
      <w:r>
        <w:rPr>
          <w:rFonts w:hint="eastAsia" w:cs="宋体"/>
          <w:b w:val="0"/>
          <w:bCs/>
          <w:sz w:val="24"/>
          <w:szCs w:val="36"/>
          <w:lang w:eastAsia="zh-CN"/>
        </w:rPr>
        <w:t>福建省女子监狱执法记录仪采购项目</w:t>
      </w:r>
      <w:r>
        <w:rPr>
          <w:rFonts w:hint="eastAsia" w:cs="宋体"/>
          <w:b w:val="0"/>
          <w:bCs/>
          <w:sz w:val="24"/>
          <w:highlight w:val="none"/>
        </w:rPr>
        <w:t>。</w:t>
      </w:r>
      <w:r>
        <w:rPr>
          <w:rFonts w:hint="eastAsia" w:cs="宋体"/>
          <w:b w:val="0"/>
          <w:bCs/>
          <w:sz w:val="24"/>
        </w:rPr>
        <w:t>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pStyle w:val="2"/>
        <w:keepNext w:val="0"/>
        <w:keepLines w:val="0"/>
        <w:pageBreakBefore w:val="0"/>
        <w:numPr>
          <w:ilvl w:val="0"/>
          <w:numId w:val="0"/>
        </w:numPr>
        <w:tabs>
          <w:tab w:val="left" w:pos="432"/>
        </w:tabs>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kern w:val="0"/>
          <w:sz w:val="24"/>
          <w:lang w:eastAsia="zh-CN"/>
        </w:rPr>
        <w:t>执法记录仪</w:t>
      </w:r>
      <w:r>
        <w:rPr>
          <w:rFonts w:hint="eastAsia" w:ascii="宋体" w:hAnsi="宋体" w:eastAsia="宋体" w:cs="宋体"/>
          <w:sz w:val="24"/>
          <w:szCs w:val="24"/>
        </w:rPr>
        <w:tab/>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外形尺寸三边相加和≤18</w:t>
      </w:r>
      <w:r>
        <w:rPr>
          <w:rFonts w:hint="eastAsia" w:ascii="宋体" w:hAnsi="宋体" w:cs="宋体"/>
          <w:sz w:val="24"/>
          <w:szCs w:val="24"/>
          <w:lang w:val="en-US" w:eastAsia="zh-CN"/>
        </w:rPr>
        <w:t>8</w:t>
      </w:r>
      <w:r>
        <w:rPr>
          <w:rFonts w:hint="eastAsia" w:ascii="宋体" w:hAnsi="宋体" w:eastAsia="宋体" w:cs="宋体"/>
          <w:sz w:val="24"/>
          <w:szCs w:val="24"/>
        </w:rPr>
        <w:t xml:space="preserve"> mm，显示屏对角线尺寸不小于2.4in，设备外表面主体外观颜色应为黑色，设备质量应≤185g（裸机），含背夹应≤205g；</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设备硬件接口应支持Micro Usb、Mini Usb或Type-C接口；</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设备出厂内置存储容量≥64GB，最大可以扩展至512GB；</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设备显示屏显示全场白测试信号时的最大亮度应≥470cd/m²，设备显示屏显示全场白和全场黑测试信号时亮度值的比应大于等于1200：1；</w:t>
      </w: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成交供应商在交货时须提交出厂检测报告。</w:t>
      </w:r>
      <w:r>
        <w:rPr>
          <w:rFonts w:hint="eastAsia" w:ascii="宋体" w:hAnsi="宋体" w:eastAsia="宋体" w:cs="宋体"/>
          <w:b/>
          <w:bCs/>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设备的音频采样率不应低于16kHz，音频编码不应低于48kbps，视频编解码支持采用H.264和H.265格式；</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支持对存储的数据加以保护，存储的数据不应被本机或未经授权的设备删除和覆盖；编码视频流有防篡改、防非法复制等认证措施（如：水印叠加），以保证原始数据的完整性；</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设备具有夜视功能，开启夜视功能后，有效拍摄不低于5m，且能看清人物面部特征，具有红外补光功能的设备，红外补光范围在3m处应覆盖摄录画面70%以上面积；</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设备支持一键PTT、一键摄录、一键拍摄、在摄录过程中能通过一键操作的方式对重点文件进行标记，标记的文件能在管理平台检索，并与其他文件进行区分；</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设备可接入移动、联通、电信、广电的5G SIM卡，设备在接入电脑、采集站状态下，应能自动关闭5G信号；支持WIFI、蓝牙；</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设备支持GPS或北斗定位系统，可采集设备的运行轨迹并上报；无网络状态下，定位信息上报具备离线缓存和恢复后补传功能；</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设备摄像头水平视场角应满足：在3840*2160、1920*1080p、1280*720p、864*480分辨率下均不小于120°；</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成交供应商在交货时须提交出厂检测报告。</w:t>
      </w:r>
      <w:r>
        <w:rPr>
          <w:rFonts w:hint="eastAsia" w:ascii="宋体" w:hAnsi="宋体" w:eastAsia="宋体" w:cs="宋体"/>
          <w:b/>
          <w:bCs/>
          <w:sz w:val="24"/>
          <w:szCs w:val="24"/>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lang w:eastAsia="zh-CN"/>
        </w:rPr>
        <w:t>执法记录仪记录的视频在3840*2160、1920*1080p、1280*720p、864*480分辨率下几何失真均小于或等于15%；</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lang w:eastAsia="zh-CN"/>
        </w:rPr>
        <w:t>设备采用内置可更换电池供电，电池容量3040mAH；开启网络传输功能后，电池工作时间应满足在视频分辨率1280x720，帧率25帧/s条件下，连续续航传输视频时间大于等于6h；</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设备具备换电池摄录不中断的功能，设备录像过程中，拔掉设备电池，设备能维持1920*1080分辨率、30帧/s的5min以上持续录像；</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成交供应商在交货时须提交出厂检测报告。</w:t>
      </w:r>
      <w:r>
        <w:rPr>
          <w:rFonts w:hint="eastAsia" w:ascii="宋体" w:hAnsi="宋体" w:eastAsia="宋体" w:cs="宋体"/>
          <w:b/>
          <w:bCs/>
          <w:sz w:val="24"/>
          <w:szCs w:val="24"/>
          <w:lang w:eastAsia="zh-CN"/>
        </w:rPr>
        <w:t>）</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设备应具有电子防抖功能，支持菜单开启/关闭防抖功能，在开启防抖功能后，使用抖动台和“+”字图形进行试验，距离设备1m处，5000K亮度，在1Hz振动频率，振动幅度1°条件下，同一位置点在视音频信息中的最大振动像素差应≤5像素；</w:t>
      </w:r>
      <w:r>
        <w:rPr>
          <w:rFonts w:hint="eastAsia" w:ascii="宋体" w:hAnsi="宋体" w:eastAsia="宋体" w:cs="宋体"/>
          <w:b w:val="0"/>
          <w:bCs w:val="0"/>
          <w:sz w:val="24"/>
          <w:szCs w:val="24"/>
          <w:lang w:eastAsia="zh-CN"/>
        </w:rPr>
        <w:t>（成交供应商在交货时须提交出厂检测报告。）</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设备支持人脸智能识别，可设置抓拍人脸的尺寸不低于40*40、50*50、80*80，支持设置抓拍人脸姿态分，进行高质量分的人脸抓拍。支持最优人脸抓拍时长设置，在设定时间内不重复抓拍同一人脸。支持人脸去模糊、去重复设置，过滤模糊、重复的人脸不进行抓拍。</w:t>
      </w:r>
      <w:r>
        <w:rPr>
          <w:rFonts w:hint="eastAsia" w:ascii="宋体" w:hAnsi="宋体" w:eastAsia="宋体" w:cs="宋体"/>
          <w:b w:val="0"/>
          <w:bCs w:val="0"/>
          <w:sz w:val="24"/>
          <w:szCs w:val="24"/>
          <w:lang w:eastAsia="zh-CN"/>
        </w:rPr>
        <w:t>（成交供应商在交货时须提交出厂检测报告。）</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设备电池舱盖可通过锁定装置进行锁定，锁定后无法打开电池舱盖；</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lang w:eastAsia="zh-CN"/>
        </w:rPr>
        <w:t>IP68等级防护，水泥地跌落高度2m，6个面各≥5次，设备功能应正常；</w:t>
      </w:r>
    </w:p>
    <w:p>
      <w:pPr>
        <w:pStyle w:val="7"/>
        <w:keepNext w:val="0"/>
        <w:keepLines w:val="0"/>
        <w:pageBreakBefore w:val="0"/>
        <w:numPr>
          <w:ilvl w:val="0"/>
          <w:numId w:val="0"/>
        </w:numPr>
        <w:kinsoku/>
        <w:wordWrap/>
        <w:overflowPunct/>
        <w:topLinePunct w:val="0"/>
        <w:autoSpaceDE/>
        <w:autoSpaceDN/>
        <w:bidi w:val="0"/>
        <w:adjustRightInd/>
        <w:snapToGrid/>
        <w:spacing w:after="0" w:line="360" w:lineRule="auto"/>
        <w:ind w:left="-425"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成交人提供的设备支持与采购人现有采集工作站对接，通过国标协议</w:t>
      </w:r>
      <w:r>
        <w:rPr>
          <w:rFonts w:hint="eastAsia" w:ascii="宋体" w:hAnsi="宋体" w:cs="宋体"/>
          <w:sz w:val="24"/>
          <w:szCs w:val="24"/>
          <w:lang w:eastAsia="zh-CN"/>
        </w:rPr>
        <w:t>对接端口</w:t>
      </w:r>
      <w:r>
        <w:rPr>
          <w:rFonts w:hint="eastAsia" w:ascii="宋体" w:hAnsi="宋体" w:eastAsia="宋体" w:cs="宋体"/>
          <w:sz w:val="24"/>
          <w:szCs w:val="24"/>
          <w:lang w:eastAsia="zh-CN"/>
        </w:rPr>
        <w:t>接入现有管理平台，实现数据的自动上传、统一管理等功能。</w:t>
      </w:r>
    </w:p>
    <w:p>
      <w:pPr>
        <w:pStyle w:val="7"/>
        <w:keepNext w:val="0"/>
        <w:keepLines w:val="0"/>
        <w:pageBreakBefore w:val="0"/>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 支持国标协议</w:t>
      </w:r>
      <w:r>
        <w:rPr>
          <w:rFonts w:hint="eastAsia" w:ascii="宋体" w:hAnsi="宋体" w:cs="宋体"/>
          <w:sz w:val="24"/>
          <w:szCs w:val="24"/>
          <w:lang w:eastAsia="zh-CN"/>
        </w:rPr>
        <w:t>对接端口</w:t>
      </w:r>
      <w:r>
        <w:rPr>
          <w:rFonts w:hint="eastAsia" w:ascii="宋体" w:hAnsi="宋体" w:eastAsia="宋体" w:cs="宋体"/>
          <w:sz w:val="24"/>
          <w:szCs w:val="24"/>
          <w:lang w:eastAsia="zh-CN"/>
        </w:rPr>
        <w:t>接入，符合GA/T947-2015标准。</w:t>
      </w:r>
    </w:p>
    <w:p>
      <w:pPr>
        <w:pStyle w:val="2"/>
        <w:keepNext w:val="0"/>
        <w:keepLines w:val="0"/>
        <w:pageBreakBefore w:val="0"/>
        <w:numPr>
          <w:ilvl w:val="0"/>
          <w:numId w:val="0"/>
        </w:numPr>
        <w:tabs>
          <w:tab w:val="left" w:pos="432"/>
        </w:tabs>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执法数据采集设备</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设备应支持壁挂式、桌面立式安装；</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设备应具有安全锁定装置，防止未经授权拆卸；</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执法记录仪接入后，采集工作站应能自动获取执法记录仪的产品序号和警号，查验是否进行关联配置，如未关联，应能通过密码验证和关联配置完成注册；</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执法数据采集设备应能自动采集已注册执法记录仪的视音频、音频、照片和日志等数据，并能验证采集站与执法仪存储的原始数据的一致性，保证采集的数据应能正常浏览；</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执法数据采集设备应能对已采集的视音频、音频、照片和日志等数据依据执法记录仪产品序号、警号、时间、文件类型及执法记录仪重点标记文件等一种或多种条件进行查询；</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执法数据采集设备应能自动或手动上传视音频、照片、日志或索引等数据到管理服务器，应能设置自动上传时间；</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设备具有优先采集接口，当优先采集接口接入执法仪时，可自动暂停其他接口的数据采集而优先此接口的数据，优先采集接口采集完毕后，可自动恢复其他接口的采集；</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执法数据采集设备应能自动或手动清空已完成数据上传的执法记录仪内部数据；</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执法数据采集设备应能自动删除超出存储期限的数据,已标记的重点文件不应被自动删除；</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执法数据采集设备应能对接入的执法记录仪进行自动充电并显示充电状态,并应能同时对多个接入的执法记录仪进行充电；</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本次配置不少于18个槽位，设备最大可同时接入24台执法记录仪进行数据采集；</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执法数据采集设备在接入能力满负荷条件下的平均单路数据采集速率应大于等于7.5MB/s。</w:t>
      </w: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成交供应商在交货时须提交出厂检测报告。</w:t>
      </w:r>
      <w:r>
        <w:rPr>
          <w:rFonts w:hint="eastAsia" w:ascii="宋体" w:hAnsi="宋体" w:eastAsia="宋体" w:cs="宋体"/>
          <w:b/>
          <w:bCs/>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设备支持的物理存储容量应不低于16TB；</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执法数据采集设备在接入能力满负荷条件下，采集接口充电电流应均不小于1000mA；</w:t>
      </w:r>
      <w:r>
        <w:rPr>
          <w:rFonts w:hint="eastAsia" w:ascii="宋体" w:hAnsi="宋体" w:eastAsia="宋体" w:cs="宋体"/>
          <w:b/>
          <w:bCs/>
          <w:sz w:val="24"/>
          <w:szCs w:val="24"/>
        </w:rPr>
        <w:t>（</w:t>
      </w:r>
      <w:r>
        <w:rPr>
          <w:rFonts w:hint="eastAsia" w:ascii="宋体" w:hAnsi="宋体" w:eastAsia="宋体" w:cs="宋体"/>
          <w:b w:val="0"/>
          <w:bCs w:val="0"/>
          <w:sz w:val="24"/>
          <w:szCs w:val="24"/>
          <w:lang w:eastAsia="zh-CN"/>
        </w:rPr>
        <w:t>成交供应商在交货时须提交出厂检测报告。</w:t>
      </w:r>
      <w:r>
        <w:rPr>
          <w:rFonts w:hint="eastAsia" w:ascii="宋体" w:hAnsi="宋体" w:eastAsia="宋体" w:cs="宋体"/>
          <w:b/>
          <w:bCs/>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成交人提供的设备支持与采购人现有采集工作站和管理平台进行对接，</w:t>
      </w:r>
      <w:r>
        <w:rPr>
          <w:rFonts w:hint="eastAsia" w:ascii="宋体" w:hAnsi="宋体" w:eastAsia="宋体" w:cs="宋体"/>
          <w:sz w:val="24"/>
          <w:szCs w:val="24"/>
          <w:lang w:eastAsia="zh-CN"/>
        </w:rPr>
        <w:t>通过国标协议</w:t>
      </w:r>
      <w:r>
        <w:rPr>
          <w:rFonts w:hint="eastAsia" w:ascii="宋体" w:hAnsi="宋体" w:cs="宋体"/>
          <w:sz w:val="24"/>
          <w:szCs w:val="24"/>
          <w:lang w:eastAsia="zh-CN"/>
        </w:rPr>
        <w:t>对接端口</w:t>
      </w:r>
      <w:r>
        <w:rPr>
          <w:rFonts w:hint="eastAsia" w:ascii="宋体" w:hAnsi="宋体" w:eastAsia="宋体" w:cs="宋体"/>
          <w:sz w:val="24"/>
          <w:szCs w:val="24"/>
          <w:lang w:eastAsia="zh-CN"/>
        </w:rPr>
        <w:t>接入现有管理平台，</w:t>
      </w:r>
      <w:r>
        <w:rPr>
          <w:rFonts w:hint="eastAsia" w:ascii="宋体" w:hAnsi="宋体" w:eastAsia="宋体" w:cs="宋体"/>
          <w:sz w:val="24"/>
          <w:szCs w:val="24"/>
        </w:rPr>
        <w:t>实现数据的自动上传、统一管理等功能；成交人提供的设备须支持与采购人现有执法记录仪对接，实现数据的自动采集、自动清空等功能。</w:t>
      </w:r>
    </w:p>
    <w:p>
      <w:pPr>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执法数据采集设备，遵循《中华人民共和国公共安全行业标准》GAT 947-2015标准；支持满足GA/T 947.2-2015标准的执法记录仪的接入；</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bCs/>
          <w:kern w:val="0"/>
          <w:sz w:val="24"/>
          <w:szCs w:val="24"/>
          <w:lang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rPr>
        <w:t>不小于13.3寸彩色液晶显示触摸屏，显示分辨率1920*1080</w:t>
      </w:r>
      <w:r>
        <w:rPr>
          <w:rFonts w:hint="eastAsia" w:ascii="宋体" w:hAnsi="宋体" w:cs="宋体"/>
          <w:sz w:val="24"/>
          <w:szCs w:val="24"/>
          <w:lang w:eastAsia="zh-CN"/>
        </w:rPr>
        <w:t>。</w:t>
      </w: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8"/>
        <w:spacing w:after="0" w:line="360" w:lineRule="auto"/>
        <w:ind w:left="0" w:leftChars="0" w:firstLine="482" w:firstLineChars="200"/>
        <w:rPr>
          <w:rFonts w:hint="eastAsia" w:ascii="宋体" w:hAnsi="宋体" w:eastAsia="宋体" w:cs="宋体"/>
          <w:b/>
          <w:bCs/>
          <w:kern w:val="0"/>
          <w:sz w:val="24"/>
          <w:lang w:eastAsia="zh-CN"/>
        </w:rPr>
      </w:pPr>
      <w:r>
        <w:rPr>
          <w:rFonts w:hint="eastAsia" w:ascii="宋体" w:hAnsi="宋体" w:cs="宋体"/>
          <w:b/>
          <w:bCs/>
          <w:kern w:val="0"/>
          <w:sz w:val="24"/>
        </w:rPr>
        <w:t>1.交付地点：福建省福州市闽侯县南屿镇桐南村新南大道156号</w:t>
      </w:r>
      <w:r>
        <w:rPr>
          <w:rFonts w:hint="eastAsia" w:ascii="宋体" w:hAnsi="宋体" w:cs="宋体"/>
          <w:b/>
          <w:bCs/>
          <w:kern w:val="0"/>
          <w:sz w:val="24"/>
          <w:lang w:eastAsia="zh-CN"/>
        </w:rPr>
        <w:t>。</w:t>
      </w:r>
    </w:p>
    <w:p>
      <w:pPr>
        <w:pStyle w:val="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2.交付时间：自合同签订之日起30个工作日内安装调试完毕并通过验收。</w:t>
      </w:r>
    </w:p>
    <w:p>
      <w:pPr>
        <w:pStyle w:val="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条件：符合采购要求，成交供应商应负责在约定的时间内完成货物安装调试，交付采购人使用并通过验收。在验收合格前，所发生的一切毁损、灭失等风险，均由成交供应商自行承担。成交供应商在来往途中发生的一切事故，采购人不承担任何责任。</w:t>
      </w:r>
    </w:p>
    <w:p>
      <w:pPr>
        <w:pStyle w:val="8"/>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5</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5 </w:t>
      </w:r>
      <w:r>
        <w:rPr>
          <w:rFonts w:hint="eastAsia" w:ascii="宋体" w:hAnsi="宋体" w:cs="宋体"/>
          <w:b/>
          <w:bCs/>
          <w:kern w:val="0"/>
          <w:sz w:val="24"/>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kern w:val="0"/>
          <w:sz w:val="24"/>
        </w:rPr>
        <w:t>。履约保证金在成交供应商履行完合同约定的全部事项（包含</w:t>
      </w:r>
      <w:r>
        <w:rPr>
          <w:rFonts w:hint="eastAsia" w:ascii="宋体" w:hAnsi="宋体" w:cs="宋体"/>
          <w:b/>
          <w:bCs/>
          <w:kern w:val="0"/>
          <w:sz w:val="24"/>
          <w:lang w:val="en-US" w:eastAsia="zh-CN"/>
        </w:rPr>
        <w:t>售后维保</w:t>
      </w:r>
      <w:r>
        <w:rPr>
          <w:rFonts w:hint="eastAsia" w:ascii="宋体" w:hAnsi="宋体" w:cs="宋体"/>
          <w:b/>
          <w:bCs/>
          <w:sz w:val="24"/>
        </w:rPr>
        <w:t>期</w:t>
      </w:r>
      <w:r>
        <w:rPr>
          <w:rFonts w:hint="eastAsia" w:ascii="宋体" w:hAnsi="宋体" w:cs="宋体"/>
          <w:b/>
          <w:bCs/>
          <w:kern w:val="0"/>
          <w:sz w:val="24"/>
        </w:rPr>
        <w:t>）且双方无未了事项的前提下，采购人在收到成交供应商提交书面申请等材料后30日内无息退还。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5.验收方式：按照国家相关标准、行业标准及网上竞价文件及合同要求执行。</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w:t>
      </w:r>
      <w:r>
        <w:rPr>
          <w:rFonts w:ascii="宋体" w:hAnsi="宋体" w:cs="宋体"/>
          <w:b/>
          <w:bCs/>
          <w:sz w:val="24"/>
        </w:rPr>
        <w:t>.2</w:t>
      </w:r>
      <w:r>
        <w:rPr>
          <w:rFonts w:hint="eastAsia" w:ascii="宋体" w:hAnsi="宋体" w:cs="宋体"/>
          <w:b/>
          <w:bCs/>
          <w:sz w:val="24"/>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rPr>
        <w:t>15</w:t>
      </w:r>
      <w:r>
        <w:rPr>
          <w:rFonts w:hint="eastAsia" w:ascii="宋体" w:hAnsi="宋体" w:cs="宋体"/>
          <w:b/>
          <w:bCs/>
          <w:sz w:val="24"/>
        </w:rPr>
        <w:t>日内无条件免费更换，直至验收合格交付使用。</w:t>
      </w:r>
    </w:p>
    <w:p>
      <w:pPr>
        <w:widowControl/>
        <w:tabs>
          <w:tab w:val="left" w:pos="900"/>
          <w:tab w:val="left" w:pos="1100"/>
        </w:tabs>
        <w:spacing w:line="360" w:lineRule="auto"/>
        <w:ind w:left="482"/>
        <w:textAlignment w:val="baseline"/>
        <w:rPr>
          <w:rFonts w:hAnsi="宋体" w:cs="宋体"/>
          <w:b/>
          <w:bCs/>
        </w:rPr>
      </w:pPr>
      <w:r>
        <w:rPr>
          <w:rFonts w:hint="eastAsia" w:ascii="宋体" w:hAnsi="宋体" w:cs="宋体"/>
          <w:b/>
          <w:bCs/>
          <w:sz w:val="24"/>
        </w:rPr>
        <w:t>5</w:t>
      </w:r>
      <w:r>
        <w:rPr>
          <w:rFonts w:ascii="宋体" w:hAnsi="宋体" w:cs="宋体"/>
          <w:b/>
          <w:bCs/>
          <w:sz w:val="24"/>
        </w:rPr>
        <w:t>.3</w:t>
      </w:r>
      <w:r>
        <w:rPr>
          <w:rFonts w:hint="eastAsia" w:ascii="宋体" w:hAnsi="宋体" w:cs="宋体"/>
          <w:b/>
          <w:bCs/>
          <w:sz w:val="24"/>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w:t>
      </w:r>
      <w:r>
        <w:rPr>
          <w:rFonts w:ascii="宋体" w:hAnsi="宋体" w:cs="宋体"/>
          <w:b/>
          <w:bCs/>
          <w:sz w:val="24"/>
        </w:rPr>
        <w:t>.4</w:t>
      </w:r>
      <w:r>
        <w:rPr>
          <w:rFonts w:hint="eastAsia" w:ascii="宋体" w:hAnsi="宋体" w:cs="宋体"/>
          <w:b/>
          <w:bCs/>
          <w:sz w:val="24"/>
        </w:rPr>
        <w:t>在验收时所发生的一切费用由成交供应商承担。</w:t>
      </w:r>
    </w:p>
    <w:p>
      <w:pPr>
        <w:widowControl/>
        <w:tabs>
          <w:tab w:val="left" w:pos="900"/>
          <w:tab w:val="left" w:pos="1100"/>
        </w:tabs>
        <w:spacing w:line="360" w:lineRule="auto"/>
        <w:ind w:firstLine="482" w:firstLineChars="200"/>
        <w:textAlignment w:val="baseline"/>
        <w:rPr>
          <w:rStyle w:val="23"/>
          <w:rFonts w:ascii="宋体" w:hAnsi="宋体" w:cs="宋体"/>
          <w:b w:val="0"/>
          <w:bCs w:val="0"/>
          <w:sz w:val="24"/>
        </w:rPr>
      </w:pPr>
      <w:r>
        <w:rPr>
          <w:rFonts w:hint="eastAsia" w:ascii="宋体" w:hAnsi="宋体" w:cs="宋体"/>
          <w:b/>
          <w:bCs/>
          <w:sz w:val="24"/>
        </w:rPr>
        <w:t>6.支付方式：在货物安装调试完毕、经采购人验收合格后，成交供应商提供增值税</w:t>
      </w:r>
      <w:r>
        <w:rPr>
          <w:rFonts w:hint="eastAsia" w:ascii="宋体" w:hAnsi="宋体" w:cs="宋体"/>
          <w:b/>
          <w:bCs/>
          <w:sz w:val="24"/>
          <w:lang w:eastAsia="zh-CN"/>
        </w:rPr>
        <w:t>普通</w:t>
      </w:r>
      <w:r>
        <w:rPr>
          <w:rStyle w:val="23"/>
          <w:rFonts w:hint="eastAsia" w:ascii="宋体" w:hAnsi="宋体" w:cs="宋体"/>
          <w:sz w:val="24"/>
        </w:rPr>
        <w:t>发票及相关材料，采购人在收到上述发票及材料后</w:t>
      </w:r>
      <w:r>
        <w:rPr>
          <w:rStyle w:val="23"/>
          <w:rFonts w:hint="eastAsia" w:ascii="宋体" w:hAnsi="宋体" w:cs="宋体"/>
          <w:sz w:val="24"/>
          <w:lang w:val="en-US" w:eastAsia="zh-CN"/>
        </w:rPr>
        <w:t>10个工作日</w:t>
      </w:r>
      <w:r>
        <w:rPr>
          <w:rStyle w:val="23"/>
          <w:rFonts w:hint="eastAsia" w:ascii="宋体" w:hAnsi="宋体" w:cs="宋体"/>
          <w:sz w:val="24"/>
        </w:rPr>
        <w:t>内支付</w:t>
      </w:r>
      <w:r>
        <w:rPr>
          <w:rFonts w:hint="eastAsia" w:ascii="宋体" w:hAnsi="宋体" w:cs="宋体"/>
          <w:b/>
          <w:bCs/>
          <w:sz w:val="24"/>
        </w:rPr>
        <w:t>合同金额的100%</w:t>
      </w:r>
      <w:r>
        <w:rPr>
          <w:rStyle w:val="23"/>
          <w:rFonts w:hint="eastAsia" w:ascii="宋体" w:hAnsi="宋体" w:cs="宋体"/>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或退货，直至符合采购要求为止，由此造成的损失由采购人承担。</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9.售后服务</w:t>
      </w:r>
    </w:p>
    <w:p>
      <w:pPr>
        <w:widowControl/>
        <w:tabs>
          <w:tab w:val="left" w:pos="900"/>
          <w:tab w:val="left" w:pos="1100"/>
        </w:tabs>
        <w:spacing w:line="360" w:lineRule="auto"/>
        <w:ind w:firstLine="482" w:firstLineChars="200"/>
        <w:jc w:val="left"/>
        <w:textAlignment w:val="baseline"/>
        <w:rPr>
          <w:rFonts w:hint="eastAsia" w:ascii="宋体" w:hAnsi="宋体" w:cs="宋体"/>
          <w:b/>
          <w:bCs/>
          <w:sz w:val="24"/>
        </w:rPr>
      </w:pPr>
      <w:r>
        <w:rPr>
          <w:rFonts w:hint="eastAsia" w:ascii="宋体" w:hAnsi="宋体" w:cs="宋体"/>
          <w:b/>
          <w:bCs/>
          <w:sz w:val="24"/>
        </w:rPr>
        <w:t>9.1</w:t>
      </w:r>
      <w:r>
        <w:rPr>
          <w:rFonts w:hint="eastAsia" w:ascii="宋体" w:hAnsi="宋体" w:cs="宋体"/>
          <w:b/>
          <w:bCs/>
          <w:sz w:val="24"/>
          <w:lang w:eastAsia="zh-CN"/>
        </w:rPr>
        <w:t>成交供应商</w:t>
      </w:r>
      <w:r>
        <w:rPr>
          <w:rFonts w:hint="eastAsia" w:ascii="宋体" w:hAnsi="宋体" w:cs="宋体"/>
          <w:b/>
          <w:bCs/>
          <w:sz w:val="24"/>
        </w:rPr>
        <w:t>对此次采购的货物应按照合同的要求提供合格的产品，对所供的货物提供三年的维修期。</w:t>
      </w:r>
      <w:r>
        <w:rPr>
          <w:rFonts w:hint="eastAsia" w:ascii="宋体" w:hAnsi="宋体" w:cs="宋体"/>
          <w:b/>
          <w:bCs/>
          <w:sz w:val="24"/>
          <w:lang w:eastAsia="zh-CN"/>
        </w:rPr>
        <w:t>售后维保期</w:t>
      </w:r>
      <w:r>
        <w:rPr>
          <w:rFonts w:hint="eastAsia" w:ascii="宋体" w:hAnsi="宋体" w:cs="宋体"/>
          <w:b/>
          <w:bCs/>
          <w:sz w:val="24"/>
        </w:rPr>
        <w:t>内非因操作不当造成需要更换的零配件及货物由</w:t>
      </w:r>
      <w:r>
        <w:rPr>
          <w:rFonts w:hint="eastAsia" w:ascii="宋体" w:hAnsi="宋体" w:cs="宋体"/>
          <w:b/>
          <w:bCs/>
          <w:sz w:val="24"/>
          <w:lang w:eastAsia="zh-CN"/>
        </w:rPr>
        <w:t>成交供应商</w:t>
      </w:r>
      <w:r>
        <w:rPr>
          <w:rFonts w:hint="eastAsia" w:ascii="宋体" w:hAnsi="宋体" w:cs="宋体"/>
          <w:b/>
          <w:bCs/>
          <w:sz w:val="24"/>
        </w:rPr>
        <w:t>负责包修、包换；</w:t>
      </w:r>
      <w:r>
        <w:rPr>
          <w:rFonts w:hint="eastAsia" w:ascii="宋体" w:hAnsi="宋体" w:cs="宋体"/>
          <w:b/>
          <w:bCs/>
          <w:sz w:val="24"/>
          <w:lang w:eastAsia="zh-CN"/>
        </w:rPr>
        <w:t>成交供应商</w:t>
      </w:r>
      <w:r>
        <w:rPr>
          <w:rFonts w:hint="eastAsia" w:ascii="宋体" w:hAnsi="宋体" w:cs="宋体"/>
          <w:b/>
          <w:bCs/>
          <w:sz w:val="24"/>
        </w:rPr>
        <w:t>提供每两个月上门设备巡检服务一次，包含120台执法仪及执法数据采集设备对接检测，并做好巡检日志登记。在</w:t>
      </w:r>
      <w:r>
        <w:rPr>
          <w:rFonts w:hint="eastAsia" w:ascii="宋体" w:hAnsi="宋体" w:cs="宋体"/>
          <w:b/>
          <w:bCs/>
          <w:sz w:val="24"/>
          <w:lang w:eastAsia="zh-CN"/>
        </w:rPr>
        <w:t>售后维保期</w:t>
      </w:r>
      <w:r>
        <w:rPr>
          <w:rFonts w:hint="eastAsia" w:ascii="宋体" w:hAnsi="宋体" w:cs="宋体"/>
          <w:b/>
          <w:bCs/>
          <w:sz w:val="24"/>
        </w:rPr>
        <w:t>结束前1个月内，</w:t>
      </w:r>
      <w:r>
        <w:rPr>
          <w:rFonts w:hint="eastAsia" w:ascii="宋体" w:hAnsi="宋体" w:cs="宋体"/>
          <w:b/>
          <w:bCs/>
          <w:sz w:val="24"/>
          <w:lang w:eastAsia="zh-CN"/>
        </w:rPr>
        <w:t>成交供应商</w:t>
      </w:r>
      <w:r>
        <w:rPr>
          <w:rFonts w:hint="eastAsia" w:ascii="宋体" w:hAnsi="宋体" w:cs="宋体"/>
          <w:b/>
          <w:bCs/>
          <w:sz w:val="24"/>
        </w:rPr>
        <w:t>须免费对货物进行一次全面的维护与保养。</w:t>
      </w:r>
    </w:p>
    <w:p>
      <w:pPr>
        <w:widowControl/>
        <w:tabs>
          <w:tab w:val="left" w:pos="900"/>
          <w:tab w:val="left" w:pos="1100"/>
        </w:tabs>
        <w:spacing w:line="360" w:lineRule="auto"/>
        <w:ind w:firstLine="482" w:firstLineChars="200"/>
        <w:jc w:val="left"/>
        <w:textAlignment w:val="baseline"/>
        <w:rPr>
          <w:rFonts w:hint="eastAsia"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.2货物</w:t>
      </w:r>
      <w:r>
        <w:rPr>
          <w:rFonts w:hint="eastAsia" w:ascii="宋体" w:hAnsi="宋体" w:cs="宋体"/>
          <w:b/>
          <w:bCs/>
          <w:sz w:val="24"/>
          <w:lang w:eastAsia="zh-CN"/>
        </w:rPr>
        <w:t>售后维保期</w:t>
      </w:r>
      <w:r>
        <w:rPr>
          <w:rFonts w:hint="eastAsia" w:ascii="宋体" w:hAnsi="宋体" w:cs="宋体"/>
          <w:b/>
          <w:bCs/>
          <w:sz w:val="24"/>
        </w:rPr>
        <w:t>自货物安装调试验收合格之日起计算。</w:t>
      </w:r>
      <w:r>
        <w:rPr>
          <w:rFonts w:hint="eastAsia" w:ascii="宋体" w:hAnsi="宋体" w:cs="宋体"/>
          <w:b/>
          <w:bCs/>
          <w:sz w:val="24"/>
          <w:lang w:eastAsia="zh-CN"/>
        </w:rPr>
        <w:t>售后维保期</w:t>
      </w:r>
      <w:r>
        <w:rPr>
          <w:rFonts w:hint="eastAsia" w:ascii="宋体" w:hAnsi="宋体" w:cs="宋体"/>
          <w:b/>
          <w:bCs/>
          <w:sz w:val="24"/>
        </w:rPr>
        <w:t>内如出现因设计、制造、运输、装卸等原因造成的质量问题，</w:t>
      </w:r>
      <w:r>
        <w:rPr>
          <w:rFonts w:hint="eastAsia" w:ascii="宋体" w:hAnsi="宋体" w:cs="宋体"/>
          <w:b/>
          <w:bCs/>
          <w:sz w:val="24"/>
          <w:lang w:eastAsia="zh-CN"/>
        </w:rPr>
        <w:t>成交供应商</w:t>
      </w:r>
      <w:r>
        <w:rPr>
          <w:rFonts w:hint="eastAsia" w:ascii="宋体" w:hAnsi="宋体" w:cs="宋体"/>
          <w:b/>
          <w:bCs/>
          <w:sz w:val="24"/>
        </w:rPr>
        <w:t>应无偿负责维修、更换。</w:t>
      </w:r>
      <w:r>
        <w:rPr>
          <w:rFonts w:hint="eastAsia" w:ascii="宋体" w:hAnsi="宋体" w:cs="宋体"/>
          <w:b/>
          <w:bCs/>
          <w:sz w:val="24"/>
          <w:lang w:eastAsia="zh-CN"/>
        </w:rPr>
        <w:t>售后维保期</w:t>
      </w:r>
      <w:r>
        <w:rPr>
          <w:rFonts w:hint="eastAsia" w:ascii="宋体" w:hAnsi="宋体" w:cs="宋体"/>
          <w:b/>
          <w:bCs/>
          <w:sz w:val="24"/>
        </w:rPr>
        <w:t>后出现故障，只收取基本维护费用。所需配件应为生产厂家原装配件，其价格应低于市场价。</w:t>
      </w:r>
    </w:p>
    <w:p>
      <w:pPr>
        <w:widowControl/>
        <w:tabs>
          <w:tab w:val="left" w:pos="900"/>
          <w:tab w:val="left" w:pos="1100"/>
        </w:tabs>
        <w:spacing w:line="360" w:lineRule="auto"/>
        <w:ind w:firstLine="482" w:firstLineChars="200"/>
        <w:jc w:val="left"/>
        <w:textAlignment w:val="baseline"/>
      </w:pPr>
      <w:r>
        <w:rPr>
          <w:rFonts w:hint="eastAsia" w:ascii="宋体" w:hAnsi="宋体" w:cs="宋体"/>
          <w:b/>
          <w:bCs/>
          <w:sz w:val="24"/>
          <w:lang w:val="en-US" w:eastAsia="zh-CN"/>
        </w:rPr>
        <w:t>9</w:t>
      </w:r>
      <w:r>
        <w:rPr>
          <w:rFonts w:hint="eastAsia" w:ascii="宋体" w:hAnsi="宋体" w:cs="宋体"/>
          <w:b/>
          <w:bCs/>
          <w:sz w:val="24"/>
        </w:rPr>
        <w:t>.3 维修服务的响应时间：在</w:t>
      </w:r>
      <w:r>
        <w:rPr>
          <w:rFonts w:hint="eastAsia" w:ascii="宋体" w:hAnsi="宋体" w:cs="宋体"/>
          <w:b/>
          <w:bCs/>
          <w:sz w:val="24"/>
          <w:lang w:eastAsia="zh-CN"/>
        </w:rPr>
        <w:t>售后维保期</w:t>
      </w:r>
      <w:r>
        <w:rPr>
          <w:rFonts w:hint="eastAsia" w:ascii="宋体" w:hAnsi="宋体" w:cs="宋体"/>
          <w:b/>
          <w:bCs/>
          <w:sz w:val="24"/>
        </w:rPr>
        <w:t>内货物若发生非人为故障，</w:t>
      </w:r>
      <w:r>
        <w:rPr>
          <w:rFonts w:hint="eastAsia" w:ascii="宋体" w:hAnsi="宋体" w:cs="宋体"/>
          <w:b/>
          <w:bCs/>
          <w:sz w:val="24"/>
          <w:lang w:eastAsia="zh-CN"/>
        </w:rPr>
        <w:t>成交供应商</w:t>
      </w:r>
      <w:r>
        <w:rPr>
          <w:rFonts w:hint="eastAsia" w:ascii="宋体" w:hAnsi="宋体" w:cs="宋体"/>
          <w:b/>
          <w:bCs/>
          <w:sz w:val="24"/>
        </w:rPr>
        <w:t>应上门检修维护，更换零部件。</w:t>
      </w:r>
      <w:r>
        <w:rPr>
          <w:rFonts w:hint="eastAsia" w:ascii="宋体" w:hAnsi="宋体" w:cs="宋体"/>
          <w:b/>
          <w:bCs/>
          <w:sz w:val="24"/>
          <w:lang w:eastAsia="zh-CN"/>
        </w:rPr>
        <w:t>成交供应商</w:t>
      </w:r>
      <w:r>
        <w:rPr>
          <w:rFonts w:hint="eastAsia" w:ascii="宋体" w:hAnsi="宋体" w:cs="宋体"/>
          <w:b/>
          <w:bCs/>
          <w:sz w:val="24"/>
        </w:rPr>
        <w:t>在接到甲方故障通知后应在1小时内给予解决方案并委派专业技术人员到达现场，免费提供咨询、维修和更换零部件等服务。</w:t>
      </w:r>
    </w:p>
    <w:p>
      <w:pPr>
        <w:widowControl/>
        <w:tabs>
          <w:tab w:val="left" w:pos="900"/>
          <w:tab w:val="left" w:pos="1100"/>
        </w:tabs>
        <w:spacing w:line="360" w:lineRule="auto"/>
        <w:ind w:firstLine="482" w:firstLineChars="200"/>
        <w:jc w:val="left"/>
        <w:textAlignment w:val="baseline"/>
        <w:rPr>
          <w:rFonts w:hint="default" w:ascii="宋体" w:hAnsi="宋体" w:cs="宋体"/>
          <w:b/>
          <w:bCs/>
          <w:sz w:val="24"/>
          <w:lang w:val="en-US" w:eastAsia="zh-CN"/>
        </w:rPr>
      </w:pPr>
      <w:r>
        <w:rPr>
          <w:rFonts w:hint="eastAsia" w:ascii="宋体" w:hAnsi="宋体" w:cs="宋体"/>
          <w:b/>
          <w:bCs/>
          <w:sz w:val="24"/>
          <w:lang w:val="en-US" w:eastAsia="zh-CN"/>
        </w:rPr>
        <w:t>9.4货物安装调试验收结束后，</w:t>
      </w:r>
      <w:r>
        <w:rPr>
          <w:rFonts w:hint="eastAsia" w:ascii="宋体" w:hAnsi="宋体" w:cs="宋体"/>
          <w:b/>
          <w:bCs/>
          <w:sz w:val="24"/>
          <w:lang w:eastAsia="zh-CN"/>
        </w:rPr>
        <w:t>成交供应商</w:t>
      </w:r>
      <w:r>
        <w:rPr>
          <w:rFonts w:hint="eastAsia" w:ascii="宋体" w:hAnsi="宋体" w:cs="宋体"/>
          <w:b/>
          <w:bCs/>
          <w:sz w:val="24"/>
          <w:lang w:val="en-US" w:eastAsia="zh-CN"/>
        </w:rPr>
        <w:t>须派专业技术工程师对采购人相关人员进行现场技术培训，熟悉货物结构，软件操作及简单的日常维护。</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p>
      <w:pPr>
        <w:pStyle w:val="15"/>
        <w:spacing w:before="0" w:beforeAutospacing="0" w:after="0" w:afterAutospacing="0" w:line="360" w:lineRule="auto"/>
        <w:ind w:firstLine="480" w:firstLineChars="200"/>
        <w:rPr>
          <w:rFonts w:hint="eastAsia"/>
          <w:highlight w:val="none"/>
        </w:rPr>
      </w:pPr>
      <w:r>
        <w:rPr>
          <w:rFonts w:hint="eastAsia"/>
          <w:highlight w:val="none"/>
        </w:rPr>
        <w:t>10.1解除合同违约责任</w:t>
      </w:r>
    </w:p>
    <w:p>
      <w:pPr>
        <w:pStyle w:val="15"/>
        <w:spacing w:before="0" w:beforeAutospacing="0" w:after="0" w:afterAutospacing="0" w:line="360" w:lineRule="auto"/>
        <w:ind w:firstLine="480" w:firstLineChars="200"/>
        <w:rPr>
          <w:rFonts w:hint="eastAsia"/>
          <w:highlight w:val="none"/>
        </w:rPr>
      </w:pPr>
      <w:r>
        <w:rPr>
          <w:rFonts w:hint="eastAsia"/>
          <w:highlight w:val="none"/>
        </w:rPr>
        <w:t>签订合同后因</w:t>
      </w:r>
      <w:r>
        <w:rPr>
          <w:rFonts w:hint="eastAsia"/>
          <w:highlight w:val="none"/>
          <w:lang w:eastAsia="zh-CN"/>
        </w:rPr>
        <w:t>成交供应商</w:t>
      </w:r>
      <w:r>
        <w:rPr>
          <w:rFonts w:hint="eastAsia"/>
          <w:highlight w:val="none"/>
        </w:rPr>
        <w:t>任何违约行为导致本合同无法正常继续履行或提前终止，</w:t>
      </w:r>
      <w:r>
        <w:rPr>
          <w:rFonts w:hint="eastAsia"/>
          <w:highlight w:val="none"/>
          <w:lang w:eastAsia="zh-CN"/>
        </w:rPr>
        <w:t>采购人有权解除合同不予退还履约保证金，并不予支付剩余合同款</w:t>
      </w:r>
      <w:r>
        <w:rPr>
          <w:rFonts w:hint="eastAsia"/>
          <w:highlight w:val="none"/>
        </w:rPr>
        <w:t>。</w:t>
      </w:r>
    </w:p>
    <w:p>
      <w:pPr>
        <w:pStyle w:val="15"/>
        <w:spacing w:before="0" w:beforeAutospacing="0" w:after="0" w:afterAutospacing="0" w:line="360" w:lineRule="auto"/>
        <w:ind w:firstLine="480" w:firstLineChars="200"/>
        <w:rPr>
          <w:rFonts w:hint="eastAsia"/>
          <w:highlight w:val="none"/>
        </w:rPr>
      </w:pPr>
      <w:r>
        <w:rPr>
          <w:rFonts w:hint="eastAsia"/>
          <w:highlight w:val="none"/>
        </w:rPr>
        <w:t>10.2分包转包违约责任</w:t>
      </w:r>
    </w:p>
    <w:p>
      <w:pPr>
        <w:pStyle w:val="15"/>
        <w:spacing w:before="0" w:beforeAutospacing="0" w:after="0" w:afterAutospacing="0" w:line="360" w:lineRule="auto"/>
        <w:ind w:firstLine="480" w:firstLineChars="200"/>
        <w:rPr>
          <w:rFonts w:hint="eastAsia"/>
          <w:highlight w:val="none"/>
        </w:rPr>
      </w:pPr>
      <w:r>
        <w:rPr>
          <w:rFonts w:hint="eastAsia"/>
          <w:highlight w:val="none"/>
          <w:lang w:eastAsia="zh-CN"/>
        </w:rPr>
        <w:t>成交供应商</w:t>
      </w:r>
      <w:r>
        <w:rPr>
          <w:rFonts w:hint="eastAsia"/>
          <w:highlight w:val="none"/>
        </w:rPr>
        <w:t>不得将本项目进行分包或转包，如发现经查实，</w:t>
      </w:r>
      <w:r>
        <w:rPr>
          <w:rFonts w:hint="eastAsia"/>
          <w:highlight w:val="none"/>
          <w:lang w:eastAsia="zh-CN"/>
        </w:rPr>
        <w:t>采购人有权解除合同不予退还履约保证金，并不予支付剩余合同款</w:t>
      </w:r>
      <w:r>
        <w:rPr>
          <w:rFonts w:hint="eastAsia"/>
          <w:highlight w:val="none"/>
        </w:rPr>
        <w:t>。</w:t>
      </w:r>
    </w:p>
    <w:p>
      <w:pPr>
        <w:pStyle w:val="15"/>
        <w:spacing w:before="0" w:beforeAutospacing="0" w:after="0" w:afterAutospacing="0" w:line="360" w:lineRule="auto"/>
        <w:ind w:firstLine="480" w:firstLineChars="200"/>
        <w:rPr>
          <w:rFonts w:hint="eastAsia"/>
          <w:highlight w:val="none"/>
        </w:rPr>
      </w:pPr>
      <w:r>
        <w:rPr>
          <w:rFonts w:hint="eastAsia"/>
          <w:highlight w:val="none"/>
        </w:rPr>
        <w:t>10.</w:t>
      </w:r>
      <w:r>
        <w:rPr>
          <w:rFonts w:hint="eastAsia"/>
          <w:highlight w:val="none"/>
          <w:lang w:val="en-US" w:eastAsia="zh-CN"/>
        </w:rPr>
        <w:t>3</w:t>
      </w:r>
      <w:r>
        <w:rPr>
          <w:rFonts w:hint="eastAsia"/>
          <w:highlight w:val="none"/>
        </w:rPr>
        <w:t>合同期内服务不到位相关违约责任</w:t>
      </w:r>
    </w:p>
    <w:p>
      <w:pPr>
        <w:pStyle w:val="15"/>
        <w:spacing w:before="0" w:beforeAutospacing="0" w:after="0" w:afterAutospacing="0" w:line="360" w:lineRule="auto"/>
        <w:ind w:firstLine="480" w:firstLineChars="200"/>
        <w:rPr>
          <w:rFonts w:hint="eastAsia"/>
          <w:highlight w:val="none"/>
        </w:rPr>
      </w:pPr>
      <w:r>
        <w:rPr>
          <w:rFonts w:hint="eastAsia"/>
          <w:highlight w:val="none"/>
        </w:rPr>
        <w:t>①未按期交货的违约责任</w:t>
      </w:r>
    </w:p>
    <w:p>
      <w:pPr>
        <w:pStyle w:val="15"/>
        <w:spacing w:before="0" w:beforeAutospacing="0" w:after="0" w:afterAutospacing="0" w:line="360" w:lineRule="auto"/>
        <w:ind w:firstLine="480" w:firstLineChars="200"/>
        <w:rPr>
          <w:rFonts w:hint="eastAsia"/>
          <w:highlight w:val="none"/>
        </w:rPr>
      </w:pPr>
      <w:r>
        <w:rPr>
          <w:rFonts w:hint="eastAsia"/>
          <w:highlight w:val="none"/>
        </w:rPr>
        <w:t>如果</w:t>
      </w:r>
      <w:r>
        <w:rPr>
          <w:rFonts w:hint="eastAsia"/>
          <w:highlight w:val="none"/>
          <w:lang w:eastAsia="zh-CN"/>
        </w:rPr>
        <w:t>成交供应商</w:t>
      </w:r>
      <w:r>
        <w:rPr>
          <w:rFonts w:hint="eastAsia"/>
          <w:highlight w:val="none"/>
        </w:rPr>
        <w:t>未能按合同规定的时间按时交货（不可抗力除外）的，在</w:t>
      </w:r>
      <w:r>
        <w:rPr>
          <w:rFonts w:hint="eastAsia"/>
          <w:highlight w:val="none"/>
          <w:lang w:eastAsia="zh-CN"/>
        </w:rPr>
        <w:t>成交供应商</w:t>
      </w:r>
      <w:r>
        <w:rPr>
          <w:rFonts w:hint="eastAsia"/>
          <w:highlight w:val="none"/>
        </w:rPr>
        <w:t>书面同意支付延期违约金的条件下，</w:t>
      </w:r>
      <w:r>
        <w:rPr>
          <w:rFonts w:hint="eastAsia"/>
          <w:highlight w:val="none"/>
          <w:lang w:eastAsia="zh-CN"/>
        </w:rPr>
        <w:t>采购人</w:t>
      </w:r>
      <w:r>
        <w:rPr>
          <w:rFonts w:hint="eastAsia"/>
          <w:highlight w:val="none"/>
        </w:rPr>
        <w:t>有权选择同意延长期限还是不予延长期限，</w:t>
      </w:r>
      <w:r>
        <w:rPr>
          <w:rFonts w:hint="eastAsia"/>
          <w:highlight w:val="none"/>
          <w:lang w:eastAsia="zh-CN"/>
        </w:rPr>
        <w:t>采购人</w:t>
      </w:r>
      <w:r>
        <w:rPr>
          <w:rFonts w:hint="eastAsia"/>
          <w:highlight w:val="none"/>
        </w:rPr>
        <w:t>同意延长期限的，延期的时间由双方另行确定。延期违约金的支付</w:t>
      </w:r>
      <w:r>
        <w:rPr>
          <w:rFonts w:hint="eastAsia"/>
          <w:highlight w:val="none"/>
          <w:lang w:eastAsia="zh-CN"/>
        </w:rPr>
        <w:t>采购人</w:t>
      </w:r>
      <w:r>
        <w:rPr>
          <w:rFonts w:hint="eastAsia"/>
          <w:highlight w:val="none"/>
        </w:rPr>
        <w:t>有权从未付的合同货款中扣除。延期违约金为每逾期1天，按逾期1天支付</w:t>
      </w:r>
      <w:r>
        <w:rPr>
          <w:rFonts w:hint="eastAsia"/>
          <w:highlight w:val="none"/>
          <w:lang w:eastAsia="zh-CN"/>
        </w:rPr>
        <w:t>采购人</w:t>
      </w:r>
      <w:r>
        <w:rPr>
          <w:rFonts w:hint="eastAsia"/>
          <w:highlight w:val="none"/>
        </w:rPr>
        <w:t>500元人民币违约金并继续履行应尽的配送或安装等相关服务。但是，延期违约金的支付总额不得超过合同金额的30％。</w:t>
      </w:r>
    </w:p>
    <w:p>
      <w:pPr>
        <w:pStyle w:val="15"/>
        <w:spacing w:before="0" w:beforeAutospacing="0" w:after="0" w:afterAutospacing="0" w:line="360" w:lineRule="auto"/>
        <w:ind w:firstLine="480" w:firstLineChars="200"/>
        <w:rPr>
          <w:rFonts w:hint="eastAsia"/>
          <w:highlight w:val="none"/>
        </w:rPr>
      </w:pPr>
      <w:r>
        <w:rPr>
          <w:rFonts w:hint="eastAsia"/>
          <w:highlight w:val="none"/>
        </w:rPr>
        <w:t>若</w:t>
      </w:r>
      <w:r>
        <w:rPr>
          <w:rFonts w:hint="eastAsia"/>
          <w:highlight w:val="none"/>
          <w:lang w:eastAsia="zh-CN"/>
        </w:rPr>
        <w:t>成交供应商</w:t>
      </w:r>
      <w:r>
        <w:rPr>
          <w:rFonts w:hint="eastAsia"/>
          <w:highlight w:val="none"/>
        </w:rPr>
        <w:t>逾期交货或安装时间达30天（含30天）以上的，视为</w:t>
      </w:r>
      <w:r>
        <w:rPr>
          <w:rFonts w:hint="eastAsia"/>
          <w:highlight w:val="none"/>
          <w:lang w:eastAsia="zh-CN"/>
        </w:rPr>
        <w:t>成交供应商</w:t>
      </w:r>
      <w:r>
        <w:rPr>
          <w:rFonts w:hint="eastAsia"/>
          <w:highlight w:val="none"/>
        </w:rPr>
        <w:t>不能交货，</w:t>
      </w:r>
      <w:r>
        <w:rPr>
          <w:rFonts w:hint="eastAsia"/>
          <w:highlight w:val="none"/>
          <w:lang w:eastAsia="zh-CN"/>
        </w:rPr>
        <w:t>采购人</w:t>
      </w:r>
      <w:r>
        <w:rPr>
          <w:rFonts w:hint="eastAsia"/>
          <w:highlight w:val="none"/>
        </w:rPr>
        <w:t>有权单方解除本合同并不予退还履约保证金，</w:t>
      </w:r>
      <w:r>
        <w:rPr>
          <w:rFonts w:hint="eastAsia"/>
          <w:highlight w:val="none"/>
          <w:lang w:eastAsia="zh-CN"/>
        </w:rPr>
        <w:t>成交供应商</w:t>
      </w:r>
      <w:r>
        <w:rPr>
          <w:rFonts w:hint="eastAsia"/>
          <w:highlight w:val="none"/>
        </w:rPr>
        <w:t>仍应按上述约定支付逾期违约金。若因此给</w:t>
      </w:r>
      <w:r>
        <w:rPr>
          <w:rFonts w:hint="eastAsia"/>
          <w:highlight w:val="none"/>
          <w:lang w:eastAsia="zh-CN"/>
        </w:rPr>
        <w:t>采购人</w:t>
      </w:r>
      <w:r>
        <w:rPr>
          <w:rFonts w:hint="eastAsia"/>
          <w:highlight w:val="none"/>
        </w:rPr>
        <w:t>造成损失的，还应赔偿</w:t>
      </w:r>
      <w:r>
        <w:rPr>
          <w:rFonts w:hint="eastAsia"/>
          <w:highlight w:val="none"/>
          <w:lang w:eastAsia="zh-CN"/>
        </w:rPr>
        <w:t>采购人</w:t>
      </w:r>
      <w:r>
        <w:rPr>
          <w:rFonts w:hint="eastAsia"/>
          <w:highlight w:val="none"/>
        </w:rPr>
        <w:t>所受的损失。</w:t>
      </w:r>
    </w:p>
    <w:p>
      <w:pPr>
        <w:pStyle w:val="15"/>
        <w:spacing w:before="0" w:beforeAutospacing="0" w:after="0" w:afterAutospacing="0" w:line="360" w:lineRule="auto"/>
        <w:ind w:firstLine="480" w:firstLineChars="200"/>
        <w:rPr>
          <w:rFonts w:hint="eastAsia"/>
          <w:highlight w:val="none"/>
        </w:rPr>
      </w:pPr>
      <w:r>
        <w:rPr>
          <w:rFonts w:hint="eastAsia"/>
          <w:highlight w:val="none"/>
        </w:rPr>
        <w:t>②</w:t>
      </w:r>
      <w:r>
        <w:rPr>
          <w:rFonts w:hint="eastAsia"/>
          <w:highlight w:val="none"/>
          <w:lang w:eastAsia="zh-CN"/>
        </w:rPr>
        <w:t>成交供应商</w:t>
      </w:r>
      <w:r>
        <w:rPr>
          <w:rFonts w:hint="eastAsia"/>
          <w:highlight w:val="none"/>
        </w:rPr>
        <w:t>提供的产品不是原装正品或来源渠道不合法、不合规的，</w:t>
      </w:r>
      <w:r>
        <w:rPr>
          <w:rFonts w:hint="eastAsia"/>
          <w:highlight w:val="none"/>
          <w:lang w:eastAsia="zh-CN"/>
        </w:rPr>
        <w:t>采购人</w:t>
      </w:r>
      <w:r>
        <w:rPr>
          <w:rFonts w:hint="eastAsia"/>
          <w:highlight w:val="none"/>
        </w:rPr>
        <w:t>有权拒收并要求更换为符合采购要求的产品，每发现一次，处违约金10000元，违约金直接从货款中扣除，因产品质量问题造成</w:t>
      </w:r>
      <w:r>
        <w:rPr>
          <w:rFonts w:hint="eastAsia"/>
          <w:highlight w:val="none"/>
          <w:lang w:eastAsia="zh-CN"/>
        </w:rPr>
        <w:t>采购人</w:t>
      </w:r>
      <w:r>
        <w:rPr>
          <w:rFonts w:hint="eastAsia"/>
          <w:highlight w:val="none"/>
        </w:rPr>
        <w:t>或任何第三方损害的，</w:t>
      </w:r>
      <w:r>
        <w:rPr>
          <w:rFonts w:hint="eastAsia"/>
          <w:highlight w:val="none"/>
          <w:lang w:eastAsia="zh-CN"/>
        </w:rPr>
        <w:t>成交供应商</w:t>
      </w:r>
      <w:r>
        <w:rPr>
          <w:rFonts w:hint="eastAsia"/>
          <w:highlight w:val="none"/>
        </w:rPr>
        <w:t>应承担一切损害赔偿、法律责任，</w:t>
      </w:r>
      <w:r>
        <w:rPr>
          <w:rFonts w:hint="eastAsia"/>
          <w:highlight w:val="none"/>
          <w:lang w:eastAsia="zh-CN"/>
        </w:rPr>
        <w:t>采购人有权解除合同不予退还履约保证金，并不予支付剩余合同款</w:t>
      </w:r>
      <w:r>
        <w:rPr>
          <w:rFonts w:hint="eastAsia"/>
          <w:highlight w:val="none"/>
        </w:rPr>
        <w:t>。</w:t>
      </w:r>
    </w:p>
    <w:p>
      <w:pPr>
        <w:pStyle w:val="15"/>
        <w:spacing w:before="0" w:beforeAutospacing="0" w:after="0" w:afterAutospacing="0" w:line="360" w:lineRule="auto"/>
        <w:ind w:firstLine="480" w:firstLineChars="200"/>
        <w:rPr>
          <w:rFonts w:hint="eastAsia"/>
          <w:highlight w:val="none"/>
        </w:rPr>
      </w:pPr>
      <w:r>
        <w:rPr>
          <w:rFonts w:hint="eastAsia"/>
          <w:highlight w:val="none"/>
        </w:rPr>
        <w:t>③保修期内，</w:t>
      </w:r>
      <w:r>
        <w:rPr>
          <w:rFonts w:hint="eastAsia"/>
          <w:highlight w:val="none"/>
          <w:lang w:eastAsia="zh-CN"/>
        </w:rPr>
        <w:t>成交供应商</w:t>
      </w:r>
      <w:r>
        <w:rPr>
          <w:rFonts w:hint="eastAsia"/>
          <w:highlight w:val="none"/>
        </w:rPr>
        <w:t>未按照合同约定或承诺的时间提供维修服务，每逾期一天，应支付</w:t>
      </w:r>
      <w:r>
        <w:rPr>
          <w:rFonts w:hint="eastAsia"/>
          <w:highlight w:val="none"/>
          <w:lang w:eastAsia="zh-CN"/>
        </w:rPr>
        <w:t>采购人</w:t>
      </w:r>
      <w:r>
        <w:rPr>
          <w:rFonts w:hint="eastAsia"/>
          <w:highlight w:val="none"/>
        </w:rPr>
        <w:t>违约金1000元，因</w:t>
      </w:r>
      <w:r>
        <w:rPr>
          <w:rFonts w:hint="eastAsia"/>
          <w:highlight w:val="none"/>
          <w:lang w:eastAsia="zh-CN"/>
        </w:rPr>
        <w:t>成交供应商</w:t>
      </w:r>
      <w:r>
        <w:rPr>
          <w:rFonts w:hint="eastAsia"/>
          <w:highlight w:val="none"/>
        </w:rPr>
        <w:t>产品质量问题导致</w:t>
      </w:r>
      <w:r>
        <w:rPr>
          <w:rFonts w:hint="eastAsia"/>
          <w:highlight w:val="none"/>
          <w:lang w:eastAsia="zh-CN"/>
        </w:rPr>
        <w:t>采购人</w:t>
      </w:r>
      <w:r>
        <w:rPr>
          <w:rFonts w:hint="eastAsia"/>
          <w:highlight w:val="none"/>
        </w:rPr>
        <w:t>人身或财产损失的，</w:t>
      </w:r>
      <w:r>
        <w:rPr>
          <w:rFonts w:hint="eastAsia"/>
          <w:highlight w:val="none"/>
          <w:lang w:eastAsia="zh-CN"/>
        </w:rPr>
        <w:t>成交供应商</w:t>
      </w:r>
      <w:r>
        <w:rPr>
          <w:rFonts w:hint="eastAsia"/>
          <w:highlight w:val="none"/>
        </w:rPr>
        <w:t>应予以赔偿。</w:t>
      </w:r>
    </w:p>
    <w:p>
      <w:pPr>
        <w:pStyle w:val="15"/>
        <w:spacing w:before="0" w:beforeAutospacing="0" w:after="0" w:afterAutospacing="0" w:line="360" w:lineRule="auto"/>
        <w:ind w:firstLine="480" w:firstLineChars="200"/>
        <w:rPr>
          <w:rFonts w:hint="eastAsia"/>
          <w:highlight w:val="none"/>
        </w:rPr>
      </w:pPr>
      <w:r>
        <w:rPr>
          <w:rFonts w:hint="eastAsia"/>
          <w:highlight w:val="none"/>
        </w:rPr>
        <w:t>④</w:t>
      </w:r>
      <w:r>
        <w:rPr>
          <w:rFonts w:hint="eastAsia"/>
          <w:highlight w:val="none"/>
          <w:lang w:eastAsia="zh-CN"/>
        </w:rPr>
        <w:t>成交供应商</w:t>
      </w:r>
      <w:r>
        <w:rPr>
          <w:rFonts w:hint="eastAsia"/>
          <w:highlight w:val="none"/>
        </w:rPr>
        <w:t>不能交货或不能完成合同的（不可抗力因素造成的除外），</w:t>
      </w:r>
      <w:r>
        <w:rPr>
          <w:rFonts w:hint="eastAsia"/>
          <w:highlight w:val="none"/>
          <w:lang w:eastAsia="zh-CN"/>
        </w:rPr>
        <w:t>采购人有权解除合同不予退还履约保证金，并不予支付剩余合同款</w:t>
      </w:r>
      <w:r>
        <w:rPr>
          <w:rFonts w:hint="eastAsia"/>
          <w:highlight w:val="none"/>
        </w:rPr>
        <w:t>。</w:t>
      </w:r>
    </w:p>
    <w:p>
      <w:pPr>
        <w:pStyle w:val="15"/>
        <w:spacing w:before="0" w:beforeAutospacing="0" w:after="0" w:afterAutospacing="0" w:line="360" w:lineRule="auto"/>
        <w:ind w:firstLine="480" w:firstLineChars="200"/>
        <w:rPr>
          <w:rFonts w:hint="eastAsia"/>
          <w:highlight w:val="none"/>
        </w:rPr>
      </w:pPr>
      <w:r>
        <w:rPr>
          <w:rFonts w:hint="eastAsia"/>
          <w:highlight w:val="none"/>
        </w:rPr>
        <w:t>10.</w:t>
      </w:r>
      <w:r>
        <w:rPr>
          <w:rFonts w:hint="eastAsia"/>
          <w:highlight w:val="none"/>
          <w:lang w:val="en-US" w:eastAsia="zh-CN"/>
        </w:rPr>
        <w:t>4</w:t>
      </w:r>
      <w:r>
        <w:rPr>
          <w:rFonts w:hint="eastAsia"/>
          <w:highlight w:val="none"/>
          <w:lang w:eastAsia="zh-CN"/>
        </w:rPr>
        <w:t>成交供应商</w:t>
      </w:r>
      <w:r>
        <w:rPr>
          <w:rFonts w:hint="eastAsia"/>
          <w:highlight w:val="none"/>
        </w:rPr>
        <w:t>应支付的违约金</w:t>
      </w:r>
      <w:r>
        <w:rPr>
          <w:rFonts w:hint="eastAsia"/>
          <w:highlight w:val="none"/>
          <w:lang w:eastAsia="zh-CN"/>
        </w:rPr>
        <w:t>采购人</w:t>
      </w:r>
      <w:r>
        <w:rPr>
          <w:rFonts w:hint="eastAsia"/>
          <w:highlight w:val="none"/>
        </w:rPr>
        <w:t>可以直接从应付给</w:t>
      </w:r>
      <w:r>
        <w:rPr>
          <w:rFonts w:hint="eastAsia"/>
          <w:highlight w:val="none"/>
          <w:lang w:eastAsia="zh-CN"/>
        </w:rPr>
        <w:t>成交供应商</w:t>
      </w:r>
      <w:r>
        <w:rPr>
          <w:rFonts w:hint="eastAsia"/>
          <w:highlight w:val="none"/>
        </w:rPr>
        <w:t>的费用中直接扣除。违约金不足以弥补给</w:t>
      </w:r>
      <w:r>
        <w:rPr>
          <w:rFonts w:hint="eastAsia"/>
          <w:highlight w:val="none"/>
          <w:lang w:eastAsia="zh-CN"/>
        </w:rPr>
        <w:t>采购人</w:t>
      </w:r>
      <w:r>
        <w:rPr>
          <w:rFonts w:hint="eastAsia"/>
          <w:highlight w:val="none"/>
        </w:rPr>
        <w:t>造成的损失的，</w:t>
      </w:r>
      <w:r>
        <w:rPr>
          <w:rFonts w:hint="eastAsia"/>
          <w:highlight w:val="none"/>
          <w:lang w:eastAsia="zh-CN"/>
        </w:rPr>
        <w:t>成交供应商</w:t>
      </w:r>
      <w:r>
        <w:rPr>
          <w:rFonts w:hint="eastAsia"/>
          <w:highlight w:val="none"/>
        </w:rPr>
        <w:t>还应承担相应的赔偿责任。</w:t>
      </w:r>
    </w:p>
    <w:p>
      <w:pPr>
        <w:pStyle w:val="15"/>
        <w:spacing w:before="0" w:beforeAutospacing="0" w:after="0" w:afterAutospacing="0" w:line="360" w:lineRule="auto"/>
        <w:ind w:firstLine="480" w:firstLineChars="200"/>
        <w:rPr>
          <w:rFonts w:hint="eastAsia"/>
          <w:highlight w:val="none"/>
        </w:rPr>
      </w:pPr>
      <w:r>
        <w:rPr>
          <w:rFonts w:hint="eastAsia"/>
          <w:highlight w:val="none"/>
        </w:rPr>
        <w:t>10.</w:t>
      </w:r>
      <w:r>
        <w:rPr>
          <w:rFonts w:hint="eastAsia"/>
          <w:highlight w:val="none"/>
          <w:lang w:val="en-US" w:eastAsia="zh-CN"/>
        </w:rPr>
        <w:t>5</w:t>
      </w:r>
      <w:r>
        <w:rPr>
          <w:rFonts w:hint="eastAsia"/>
          <w:highlight w:val="none"/>
        </w:rPr>
        <w:t>政策调整导致合同解除的情况</w:t>
      </w:r>
    </w:p>
    <w:p>
      <w:pPr>
        <w:pStyle w:val="15"/>
        <w:spacing w:before="0" w:beforeAutospacing="0" w:after="0" w:afterAutospacing="0" w:line="360" w:lineRule="auto"/>
        <w:ind w:firstLine="480" w:firstLineChars="200"/>
        <w:rPr>
          <w:rFonts w:hint="eastAsia"/>
          <w:highlight w:val="none"/>
        </w:rPr>
      </w:pPr>
      <w:r>
        <w:rPr>
          <w:rFonts w:hint="eastAsia"/>
          <w:highlight w:val="none"/>
        </w:rPr>
        <w:t>在合同履行期间，若遇政府部门或上级单位出台有关该项目的政策调整，继续履行合同违反相关政策文件要求的，</w:t>
      </w:r>
      <w:r>
        <w:rPr>
          <w:rFonts w:hint="eastAsia"/>
          <w:highlight w:val="none"/>
          <w:lang w:eastAsia="zh-CN"/>
        </w:rPr>
        <w:t>采购人</w:t>
      </w:r>
      <w:r>
        <w:rPr>
          <w:rFonts w:hint="eastAsia"/>
          <w:highlight w:val="none"/>
        </w:rPr>
        <w:t>须提前10日通知</w:t>
      </w:r>
      <w:r>
        <w:rPr>
          <w:rFonts w:hint="eastAsia"/>
          <w:highlight w:val="none"/>
          <w:lang w:eastAsia="zh-CN"/>
        </w:rPr>
        <w:t>成交供应商</w:t>
      </w:r>
      <w:r>
        <w:rPr>
          <w:rFonts w:hint="eastAsia"/>
          <w:highlight w:val="none"/>
        </w:rPr>
        <w:t>终止合同，因此造成的合同解除</w:t>
      </w:r>
      <w:r>
        <w:rPr>
          <w:rFonts w:hint="eastAsia"/>
          <w:highlight w:val="none"/>
          <w:lang w:eastAsia="zh-CN"/>
        </w:rPr>
        <w:t>采购人</w:t>
      </w:r>
      <w:r>
        <w:rPr>
          <w:rFonts w:hint="eastAsia"/>
          <w:highlight w:val="none"/>
        </w:rPr>
        <w:t>不承担违约责任。</w:t>
      </w:r>
    </w:p>
    <w:p>
      <w:pPr>
        <w:pStyle w:val="15"/>
        <w:spacing w:before="0" w:beforeAutospacing="0" w:after="0" w:afterAutospacing="0" w:line="360" w:lineRule="auto"/>
        <w:ind w:firstLine="480" w:firstLineChars="200"/>
        <w:rPr>
          <w:rFonts w:hint="eastAsia"/>
          <w:highlight w:val="none"/>
          <w:lang w:val="en-US" w:eastAsia="zh-CN"/>
        </w:rPr>
      </w:pPr>
      <w:r>
        <w:rPr>
          <w:rFonts w:hint="eastAsia"/>
          <w:highlight w:val="none"/>
          <w:lang w:val="en-US" w:eastAsia="zh-CN"/>
        </w:rPr>
        <w:t>10.6</w:t>
      </w:r>
      <w:r>
        <w:rPr>
          <w:rFonts w:hint="eastAsia" w:ascii="宋体" w:hAnsi="宋体" w:eastAsia="宋体" w:cs="宋体"/>
          <w:color w:val="auto"/>
        </w:rPr>
        <w:t>因</w:t>
      </w:r>
      <w:r>
        <w:rPr>
          <w:rFonts w:hint="eastAsia"/>
          <w:highlight w:val="none"/>
        </w:rPr>
        <w:t>成交供应商</w:t>
      </w:r>
      <w:r>
        <w:rPr>
          <w:rFonts w:hint="eastAsia" w:ascii="宋体" w:hAnsi="宋体" w:eastAsia="宋体" w:cs="宋体"/>
          <w:color w:val="auto"/>
        </w:rPr>
        <w:t>原因发生重大质量事故，采购人有权解除合同，不予支付</w:t>
      </w:r>
      <w:r>
        <w:rPr>
          <w:rFonts w:hint="eastAsia"/>
          <w:highlight w:val="none"/>
        </w:rPr>
        <w:t>成交供应商</w:t>
      </w:r>
      <w:r>
        <w:rPr>
          <w:rFonts w:hint="eastAsia" w:ascii="宋体" w:hAnsi="宋体" w:eastAsia="宋体" w:cs="宋体"/>
          <w:color w:val="auto"/>
        </w:rPr>
        <w:t>合同款项，</w:t>
      </w:r>
      <w:r>
        <w:rPr>
          <w:rFonts w:hint="eastAsia"/>
          <w:highlight w:val="none"/>
        </w:rPr>
        <w:t>成交供应商</w:t>
      </w:r>
      <w:r>
        <w:rPr>
          <w:rFonts w:hint="eastAsia" w:ascii="宋体" w:hAnsi="宋体" w:eastAsia="宋体" w:cs="宋体"/>
          <w:color w:val="auto"/>
        </w:rPr>
        <w:t>应向采购人支付合同总金额20%的违约金，违约金不足以弥补采购人损失的，</w:t>
      </w:r>
      <w:r>
        <w:rPr>
          <w:rFonts w:hint="eastAsia"/>
          <w:highlight w:val="none"/>
        </w:rPr>
        <w:t>成交供应商</w:t>
      </w:r>
      <w:r>
        <w:rPr>
          <w:rFonts w:hint="eastAsia" w:ascii="宋体" w:hAnsi="宋体" w:eastAsia="宋体" w:cs="宋体"/>
          <w:color w:val="auto"/>
        </w:rPr>
        <w:t>还应当赔偿采购人损失。且</w:t>
      </w:r>
      <w:r>
        <w:rPr>
          <w:rFonts w:hint="eastAsia"/>
          <w:highlight w:val="none"/>
        </w:rPr>
        <w:t>成交供应商</w:t>
      </w:r>
      <w:r>
        <w:rPr>
          <w:rFonts w:hint="eastAsia" w:ascii="宋体" w:hAnsi="宋体" w:eastAsia="宋体" w:cs="宋体"/>
          <w:color w:val="auto"/>
        </w:rPr>
        <w:t>还应按法律、法规规定承担由此产生的责任。</w:t>
      </w:r>
    </w:p>
    <w:p>
      <w:pPr>
        <w:pStyle w:val="15"/>
        <w:spacing w:before="0" w:beforeAutospacing="0" w:after="0" w:afterAutospacing="0" w:line="360" w:lineRule="auto"/>
        <w:ind w:firstLine="480" w:firstLineChars="200"/>
        <w:rPr>
          <w:rFonts w:hint="eastAsia"/>
          <w:highlight w:val="none"/>
          <w:lang w:val="en-US" w:eastAsia="zh-CN"/>
        </w:rPr>
      </w:pPr>
      <w:r>
        <w:rPr>
          <w:rFonts w:hint="eastAsia"/>
          <w:highlight w:val="none"/>
          <w:lang w:val="en-US" w:eastAsia="zh-CN"/>
        </w:rPr>
        <w:t>10.7若发生安全事故的，由此造成人身损害和财产损失，均与采购人无关。</w:t>
      </w:r>
      <w:r>
        <w:rPr>
          <w:rFonts w:hint="eastAsia"/>
          <w:highlight w:val="none"/>
        </w:rPr>
        <w:t>成交供应商</w:t>
      </w:r>
      <w:r>
        <w:rPr>
          <w:rFonts w:hint="eastAsia"/>
          <w:highlight w:val="none"/>
          <w:lang w:val="en-US" w:eastAsia="zh-CN"/>
        </w:rPr>
        <w:t>应按国家有关安全管理规定及采购人有关安全管理办法承担相应的法律后果。且采购人有权解除合同，不予支付</w:t>
      </w:r>
      <w:r>
        <w:rPr>
          <w:rFonts w:hint="eastAsia"/>
          <w:highlight w:val="none"/>
        </w:rPr>
        <w:t>成交供应商</w:t>
      </w:r>
      <w:r>
        <w:rPr>
          <w:rFonts w:hint="eastAsia"/>
          <w:highlight w:val="none"/>
          <w:lang w:val="en-US" w:eastAsia="zh-CN"/>
        </w:rPr>
        <w:t>合同款项，</w:t>
      </w:r>
      <w:r>
        <w:rPr>
          <w:rFonts w:hint="eastAsia"/>
          <w:highlight w:val="none"/>
        </w:rPr>
        <w:t>成交供应商</w:t>
      </w:r>
      <w:r>
        <w:rPr>
          <w:rFonts w:hint="eastAsia"/>
          <w:highlight w:val="none"/>
          <w:lang w:val="en-US" w:eastAsia="zh-CN"/>
        </w:rPr>
        <w:t>应向采购人支付合同总金额20%的违约金，违约金不足以弥补采购人损失的，</w:t>
      </w:r>
      <w:r>
        <w:rPr>
          <w:rFonts w:hint="eastAsia"/>
          <w:highlight w:val="none"/>
        </w:rPr>
        <w:t>成交供应商</w:t>
      </w:r>
      <w:r>
        <w:rPr>
          <w:rFonts w:hint="eastAsia"/>
          <w:highlight w:val="none"/>
          <w:lang w:val="en-US" w:eastAsia="zh-CN"/>
        </w:rPr>
        <w:t>还应当赔偿采购人损失。且</w:t>
      </w:r>
      <w:r>
        <w:rPr>
          <w:rFonts w:hint="eastAsia"/>
          <w:highlight w:val="none"/>
        </w:rPr>
        <w:t>成交供应商</w:t>
      </w:r>
      <w:r>
        <w:rPr>
          <w:rFonts w:hint="eastAsia"/>
          <w:highlight w:val="none"/>
          <w:lang w:val="en-US" w:eastAsia="zh-CN"/>
        </w:rPr>
        <w:t>还应按法律、法规规定承担由此产生的责任。</w:t>
      </w:r>
    </w:p>
    <w:p>
      <w:pPr>
        <w:pStyle w:val="15"/>
        <w:spacing w:before="0" w:beforeAutospacing="0" w:after="0" w:afterAutospacing="0" w:line="360" w:lineRule="auto"/>
        <w:ind w:firstLine="480" w:firstLineChars="200"/>
        <w:rPr>
          <w:highlight w:val="none"/>
        </w:rPr>
      </w:pPr>
      <w:r>
        <w:rPr>
          <w:rFonts w:hint="eastAsia"/>
          <w:highlight w:val="none"/>
          <w:lang w:val="en-US" w:eastAsia="zh-CN"/>
        </w:rPr>
        <w:t>10.8</w:t>
      </w:r>
      <w:r>
        <w:rPr>
          <w:rFonts w:hint="eastAsia"/>
          <w:highlight w:val="none"/>
        </w:rPr>
        <w:t>除上述具体违约情形外，成交供应商出现不符合网上竞价文件、响应文件、合同要求的其他情形，每发现一次，需向采购人支付违约金</w:t>
      </w:r>
      <w:r>
        <w:rPr>
          <w:rFonts w:hint="eastAsia"/>
          <w:highlight w:val="none"/>
          <w:lang w:val="en-US" w:eastAsia="zh-CN"/>
        </w:rPr>
        <w:t>1</w:t>
      </w:r>
      <w:r>
        <w:rPr>
          <w:rFonts w:hint="eastAsia"/>
          <w:highlight w:val="none"/>
        </w:rPr>
        <w:t>000元。</w:t>
      </w:r>
    </w:p>
    <w:p>
      <w:pPr>
        <w:spacing w:line="360" w:lineRule="auto"/>
        <w:ind w:firstLine="480" w:firstLineChars="200"/>
        <w:rPr>
          <w:highlight w:val="none"/>
          <w:lang w:val="zh-TW"/>
        </w:rPr>
      </w:pPr>
      <w:r>
        <w:rPr>
          <w:rFonts w:hint="eastAsia" w:cs="仿宋" w:asciiTheme="minorEastAsia" w:hAnsiTheme="minorEastAsia" w:eastAsiaTheme="minorEastAsia"/>
          <w:sz w:val="24"/>
          <w:highlight w:val="none"/>
          <w:lang w:val="en-US" w:eastAsia="zh-CN"/>
        </w:rPr>
        <w:t>10.9</w:t>
      </w:r>
      <w:r>
        <w:rPr>
          <w:rFonts w:hint="eastAsia" w:cs="宋体" w:asciiTheme="minorEastAsia" w:hAnsiTheme="minorEastAsia" w:eastAsiaTheme="minorEastAsia"/>
          <w:sz w:val="24"/>
          <w:highlight w:val="none"/>
        </w:rPr>
        <w:t>违约金采购人有权直接从应支付成交供应商的费用中扣除。</w:t>
      </w:r>
    </w:p>
    <w:p>
      <w:pPr>
        <w:pStyle w:val="15"/>
        <w:spacing w:before="0" w:beforeAutospacing="0" w:after="0" w:afterAutospacing="0" w:line="360" w:lineRule="auto"/>
        <w:ind w:firstLine="482" w:firstLineChars="200"/>
      </w:pPr>
      <w:r>
        <w:rPr>
          <w:rFonts w:hint="eastAsia"/>
          <w:b/>
          <w:bCs/>
        </w:rPr>
        <w:t>11</w:t>
      </w:r>
      <w:r>
        <w:rPr>
          <w:rStyle w:val="23"/>
          <w:rFonts w:hint="eastAsia"/>
        </w:rPr>
        <w:t>.诉讼相关费用承担：</w:t>
      </w:r>
    </w:p>
    <w:p>
      <w:pPr>
        <w:pStyle w:val="15"/>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5"/>
    <w:bookmarkEnd w:id="6"/>
    <w:bookmarkEnd w:id="7"/>
    <w:bookmarkEnd w:id="8"/>
    <w:p>
      <w:pPr>
        <w:pStyle w:val="15"/>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r>
        <w:rPr>
          <w:rFonts w:hint="eastAsia"/>
          <w:b/>
          <w:bCs/>
        </w:rPr>
        <w:t>：</w:t>
      </w:r>
    </w:p>
    <w:p>
      <w:pPr>
        <w:pStyle w:val="15"/>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firstLineChars="200"/>
        <w:rPr>
          <w:rStyle w:val="23"/>
        </w:rPr>
      </w:pPr>
      <w:r>
        <w:rPr>
          <w:rStyle w:val="23"/>
          <w:rFonts w:hint="eastAsia"/>
        </w:rPr>
        <w:t>13.专利权及知识产权：</w:t>
      </w:r>
    </w:p>
    <w:p>
      <w:pPr>
        <w:pStyle w:val="15"/>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5"/>
        <w:spacing w:before="0" w:beforeAutospacing="0" w:after="0" w:afterAutospacing="0" w:line="360" w:lineRule="auto"/>
        <w:ind w:firstLine="482" w:firstLineChars="200"/>
      </w:pPr>
      <w:r>
        <w:rPr>
          <w:rStyle w:val="23"/>
          <w:rFonts w:hint="eastAsia"/>
        </w:rPr>
        <w:t>14.保密条款：</w:t>
      </w:r>
    </w:p>
    <w:p>
      <w:pPr>
        <w:pStyle w:val="15"/>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5"/>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5"/>
        <w:spacing w:before="0" w:beforeAutospacing="0" w:after="0" w:afterAutospacing="0" w:line="360" w:lineRule="auto"/>
        <w:ind w:firstLine="480" w:firstLineChars="200"/>
        <w:rPr>
          <w:lang w:val="zh-TW"/>
        </w:rPr>
      </w:pPr>
      <w:r>
        <w:rPr>
          <w:rFonts w:hint="eastAsia"/>
        </w:rPr>
        <w:t>（3）本条款不因合同届满或解除而失效。</w:t>
      </w:r>
    </w:p>
    <w:p>
      <w:pPr>
        <w:pStyle w:val="15"/>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pPr>
        <w:pStyle w:val="15"/>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pPr>
        <w:pStyle w:val="15"/>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5"/>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rPr>
          <w:rFonts w:ascii="宋体" w:hAnsi="宋体"/>
          <w:b/>
          <w:bCs/>
          <w:sz w:val="36"/>
          <w:szCs w:val="36"/>
        </w:rPr>
      </w:pPr>
    </w:p>
    <w:p>
      <w:pPr>
        <w:widowControl/>
        <w:jc w:val="left"/>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9" w:name="_Toc30978"/>
      <w:r>
        <w:rPr>
          <w:rFonts w:hint="eastAsia" w:ascii="宋体" w:hAnsi="宋体" w:cs="宋体"/>
          <w:b/>
          <w:sz w:val="24"/>
        </w:rPr>
        <w:t>（参考文本）</w:t>
      </w:r>
      <w:bookmarkEnd w:id="9"/>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wordWrap w:val="0"/>
              <w:spacing w:beforeAutospacing="0" w:afterAutospacing="0" w:line="360" w:lineRule="auto"/>
              <w:jc w:val="center"/>
            </w:pPr>
            <w:r>
              <w:rPr>
                <w:rFonts w:hint="eastAsia"/>
              </w:rPr>
              <w:t>合同包</w:t>
            </w:r>
          </w:p>
        </w:tc>
        <w:tc>
          <w:tcPr>
            <w:tcW w:w="881" w:type="dxa"/>
            <w:vAlign w:val="center"/>
          </w:tcPr>
          <w:p>
            <w:pPr>
              <w:pStyle w:val="15"/>
              <w:wordWrap w:val="0"/>
              <w:spacing w:beforeAutospacing="0" w:afterAutospacing="0" w:line="360" w:lineRule="auto"/>
              <w:jc w:val="center"/>
            </w:pPr>
            <w:r>
              <w:rPr>
                <w:rFonts w:hint="eastAsia"/>
              </w:rPr>
              <w:t>序号</w:t>
            </w:r>
          </w:p>
        </w:tc>
        <w:tc>
          <w:tcPr>
            <w:tcW w:w="2211" w:type="dxa"/>
            <w:vAlign w:val="center"/>
          </w:tcPr>
          <w:p>
            <w:pPr>
              <w:pStyle w:val="15"/>
              <w:wordWrap w:val="0"/>
              <w:spacing w:beforeAutospacing="0" w:afterAutospacing="0" w:line="360" w:lineRule="auto"/>
              <w:jc w:val="center"/>
            </w:pPr>
            <w:r>
              <w:rPr>
                <w:rFonts w:hint="eastAsia"/>
              </w:rPr>
              <w:t>货物名称</w:t>
            </w:r>
          </w:p>
        </w:tc>
        <w:tc>
          <w:tcPr>
            <w:tcW w:w="1546" w:type="dxa"/>
            <w:vAlign w:val="center"/>
          </w:tcPr>
          <w:p>
            <w:pPr>
              <w:pStyle w:val="15"/>
              <w:wordWrap w:val="0"/>
              <w:spacing w:beforeAutospacing="0" w:afterAutospacing="0" w:line="360" w:lineRule="auto"/>
              <w:jc w:val="center"/>
            </w:pPr>
            <w:r>
              <w:rPr>
                <w:rFonts w:hint="eastAsia"/>
              </w:rPr>
              <w:t>数量（单位）</w:t>
            </w:r>
          </w:p>
        </w:tc>
        <w:tc>
          <w:tcPr>
            <w:tcW w:w="1324" w:type="dxa"/>
            <w:vAlign w:val="center"/>
          </w:tcPr>
          <w:p>
            <w:pPr>
              <w:pStyle w:val="15"/>
              <w:wordWrap w:val="0"/>
              <w:spacing w:beforeAutospacing="0" w:afterAutospacing="0" w:line="360" w:lineRule="auto"/>
              <w:jc w:val="center"/>
            </w:pPr>
            <w:r>
              <w:rPr>
                <w:rFonts w:hint="eastAsia"/>
              </w:rPr>
              <w:t>单价（元）</w:t>
            </w:r>
          </w:p>
        </w:tc>
        <w:tc>
          <w:tcPr>
            <w:tcW w:w="1767" w:type="dxa"/>
            <w:vAlign w:val="center"/>
          </w:tcPr>
          <w:p>
            <w:pPr>
              <w:pStyle w:val="15"/>
              <w:wordWrap w:val="0"/>
              <w:spacing w:beforeAutospacing="0" w:afterAutospacing="0" w:line="360" w:lineRule="auto"/>
              <w:jc w:val="center"/>
            </w:pPr>
            <w:r>
              <w:rPr>
                <w:rFonts w:hint="eastAsia"/>
              </w:rPr>
              <w:t>合同金额（元）</w:t>
            </w:r>
          </w:p>
        </w:tc>
        <w:tc>
          <w:tcPr>
            <w:tcW w:w="659" w:type="dxa"/>
            <w:vAlign w:val="center"/>
          </w:tcPr>
          <w:p>
            <w:pPr>
              <w:pStyle w:val="15"/>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5"/>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5"/>
              <w:wordWrap w:val="0"/>
              <w:spacing w:beforeAutospacing="0" w:afterAutospacing="0" w:line="360" w:lineRule="auto"/>
              <w:jc w:val="center"/>
            </w:pPr>
          </w:p>
        </w:tc>
        <w:tc>
          <w:tcPr>
            <w:tcW w:w="1767" w:type="dxa"/>
            <w:vAlign w:val="center"/>
          </w:tcPr>
          <w:p>
            <w:pPr>
              <w:pStyle w:val="15"/>
              <w:wordWrap w:val="0"/>
              <w:spacing w:beforeAutospacing="0" w:afterAutospacing="0" w:line="360" w:lineRule="auto"/>
              <w:jc w:val="center"/>
            </w:pPr>
          </w:p>
        </w:tc>
        <w:tc>
          <w:tcPr>
            <w:tcW w:w="659" w:type="dxa"/>
            <w:vAlign w:val="center"/>
          </w:tcPr>
          <w:p>
            <w:pPr>
              <w:pStyle w:val="15"/>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10" w:name="_Toc6480"/>
      <w:r>
        <w:rPr>
          <w:rFonts w:hint="eastAsia" w:ascii="宋体" w:hAnsi="宋体" w:cs="宋体"/>
          <w:b/>
          <w:sz w:val="24"/>
        </w:rPr>
        <w:t>2、交货地点及交货时间</w:t>
      </w:r>
      <w:bookmarkEnd w:id="10"/>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11" w:name="_Toc15649"/>
      <w:r>
        <w:rPr>
          <w:rFonts w:hint="eastAsia" w:ascii="宋体" w:hAnsi="宋体" w:cs="宋体"/>
          <w:b/>
          <w:sz w:val="24"/>
        </w:rPr>
        <w:t>4、项目联系人：</w:t>
      </w:r>
      <w:bookmarkEnd w:id="11"/>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2" w:name="_Toc4463"/>
      <w:r>
        <w:rPr>
          <w:rFonts w:hint="eastAsia" w:ascii="宋体" w:hAnsi="宋体" w:cs="宋体"/>
          <w:b/>
          <w:sz w:val="24"/>
        </w:rPr>
        <w:t>6、结算与付款方式：</w:t>
      </w:r>
      <w:bookmarkEnd w:id="12"/>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3" w:name="_Toc11125"/>
      <w:r>
        <w:rPr>
          <w:rFonts w:hint="eastAsia" w:ascii="宋体" w:hAnsi="宋体" w:cs="宋体"/>
          <w:b/>
          <w:bCs/>
          <w:sz w:val="24"/>
        </w:rPr>
        <w:t>8、验收要求</w:t>
      </w:r>
      <w:bookmarkEnd w:id="13"/>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4" w:name="_Toc22019"/>
      <w:r>
        <w:rPr>
          <w:rFonts w:hint="eastAsia" w:ascii="宋体" w:hAnsi="宋体" w:cs="宋体"/>
          <w:b/>
          <w:bCs/>
          <w:sz w:val="24"/>
        </w:rPr>
        <w:t>9.包装及运输</w:t>
      </w:r>
      <w:bookmarkEnd w:id="14"/>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5" w:name="_Toc29742"/>
      <w:r>
        <w:rPr>
          <w:rFonts w:hint="eastAsia" w:ascii="宋体" w:hAnsi="宋体" w:cs="宋体"/>
          <w:b/>
          <w:bCs/>
          <w:sz w:val="24"/>
        </w:rPr>
        <w:t>10、售后服务</w:t>
      </w:r>
      <w:bookmarkEnd w:id="15"/>
      <w:bookmarkStart w:id="16"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6"/>
      <w:bookmarkStart w:id="17"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7"/>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8" w:name="_Toc25786"/>
      <w:r>
        <w:rPr>
          <w:rFonts w:hint="eastAsia" w:ascii="宋体" w:hAnsi="宋体" w:cs="宋体"/>
          <w:b/>
          <w:bCs/>
          <w:sz w:val="24"/>
        </w:rPr>
        <w:t>13、知识产权</w:t>
      </w:r>
      <w:bookmarkEnd w:id="18"/>
    </w:p>
    <w:p>
      <w:pPr>
        <w:pStyle w:val="15"/>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9" w:name="_Toc1392"/>
      <w:r>
        <w:rPr>
          <w:rFonts w:hint="eastAsia" w:ascii="宋体" w:hAnsi="宋体" w:cs="宋体"/>
          <w:b/>
          <w:bCs/>
          <w:sz w:val="24"/>
        </w:rPr>
        <w:t>15、合同解除条件</w:t>
      </w:r>
      <w:bookmarkEnd w:id="19"/>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20" w:name="_Toc5467"/>
      <w:r>
        <w:rPr>
          <w:rFonts w:hint="eastAsia" w:ascii="宋体" w:hAnsi="宋体" w:cs="宋体"/>
          <w:b/>
          <w:bCs/>
          <w:sz w:val="24"/>
        </w:rPr>
        <w:t>16、不可抗力</w:t>
      </w:r>
      <w:bookmarkEnd w:id="20"/>
    </w:p>
    <w:p>
      <w:pPr>
        <w:pStyle w:val="15"/>
        <w:spacing w:before="0" w:beforeAutospacing="0" w:after="0" w:afterAutospacing="0" w:line="360" w:lineRule="auto"/>
        <w:ind w:firstLine="480" w:firstLineChars="200"/>
        <w:rPr>
          <w:lang w:val="zh-TW"/>
        </w:rPr>
      </w:pPr>
      <w:bookmarkStart w:id="21"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21"/>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2" w:name="_Toc16899"/>
      <w:r>
        <w:rPr>
          <w:rFonts w:hint="eastAsia" w:ascii="宋体" w:hAnsi="宋体" w:cs="宋体"/>
          <w:b/>
          <w:bCs/>
          <w:sz w:val="24"/>
        </w:rPr>
        <w:t>18、其他要求</w:t>
      </w:r>
      <w:bookmarkEnd w:id="22"/>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3" w:name="_Toc8403"/>
      <w:r>
        <w:rPr>
          <w:rFonts w:hint="eastAsia" w:ascii="宋体" w:hAnsi="宋体" w:cs="宋体"/>
          <w:b/>
          <w:bCs/>
          <w:sz w:val="24"/>
        </w:rPr>
        <w:t>19、保密要求</w:t>
      </w:r>
      <w:bookmarkEnd w:id="23"/>
    </w:p>
    <w:p>
      <w:pPr>
        <w:pStyle w:val="15"/>
        <w:spacing w:before="0" w:beforeAutospacing="0" w:after="0" w:afterAutospacing="0" w:line="360" w:lineRule="auto"/>
        <w:ind w:firstLine="480" w:firstLineChars="200"/>
      </w:pPr>
      <w:bookmarkStart w:id="24"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5"/>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5"/>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4"/>
    </w:p>
    <w:p>
      <w:pPr>
        <w:pStyle w:val="15"/>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19"/>
        <w:spacing w:line="360" w:lineRule="auto"/>
        <w:ind w:left="0" w:leftChars="0" w:firstLine="480" w:firstLineChars="200"/>
        <w:rPr>
          <w:sz w:val="24"/>
        </w:rPr>
      </w:pPr>
      <w:bookmarkStart w:id="25" w:name="_Toc30271"/>
      <w:r>
        <w:rPr>
          <w:rFonts w:hint="eastAsia" w:ascii="宋体" w:hAnsi="宋体" w:cs="宋体"/>
          <w:sz w:val="24"/>
        </w:rPr>
        <w:t>账    号：                            账    号：</w:t>
      </w:r>
      <w:bookmarkEnd w:id="25"/>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6"/>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3"/>
        <w:spacing w:line="360" w:lineRule="auto"/>
      </w:pPr>
    </w:p>
    <w:p>
      <w:pPr>
        <w:spacing w:line="360" w:lineRule="auto"/>
      </w:pPr>
    </w:p>
    <w:p>
      <w:pPr>
        <w:pStyle w:val="3"/>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30"/>
        <w:spacing w:after="120" w:line="360" w:lineRule="auto"/>
        <w:outlineLvl w:val="9"/>
        <w:rPr>
          <w:rStyle w:val="31"/>
          <w:rFonts w:hAnsi="宋体" w:cs="宋体"/>
          <w:b/>
          <w:bCs/>
          <w:sz w:val="44"/>
          <w:szCs w:val="44"/>
        </w:rPr>
      </w:pPr>
    </w:p>
    <w:p>
      <w:pPr>
        <w:pStyle w:val="30"/>
        <w:spacing w:after="120" w:line="360" w:lineRule="auto"/>
        <w:jc w:val="center"/>
        <w:outlineLvl w:val="9"/>
        <w:rPr>
          <w:rStyle w:val="31"/>
          <w:rFonts w:hAnsi="宋体" w:cs="宋体"/>
          <w:b/>
          <w:bCs/>
          <w:sz w:val="44"/>
          <w:szCs w:val="44"/>
        </w:rPr>
      </w:pPr>
      <w:r>
        <w:rPr>
          <w:rStyle w:val="31"/>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3"/>
        <w:spacing w:line="360" w:lineRule="auto"/>
      </w:pPr>
    </w:p>
    <w:p>
      <w:pPr>
        <w:rPr>
          <w:rFonts w:hAnsi="宋体" w:cs="宋体"/>
          <w:b/>
          <w:sz w:val="36"/>
        </w:rPr>
      </w:pPr>
      <w:r>
        <w:rPr>
          <w:rFonts w:hint="eastAsia" w:hAnsi="宋体" w:cs="宋体"/>
          <w:b/>
          <w:sz w:val="36"/>
        </w:rPr>
        <w:br w:type="page"/>
      </w:r>
    </w:p>
    <w:p>
      <w:pPr>
        <w:pStyle w:val="30"/>
        <w:spacing w:after="120" w:line="360" w:lineRule="auto"/>
        <w:jc w:val="center"/>
        <w:outlineLvl w:val="9"/>
        <w:rPr>
          <w:rFonts w:hAnsi="宋体" w:cs="宋体"/>
          <w:b/>
          <w:sz w:val="36"/>
        </w:rPr>
      </w:pPr>
      <w:r>
        <w:rPr>
          <w:rFonts w:hint="eastAsia" w:hAnsi="宋体" w:cs="宋体"/>
          <w:b/>
          <w:sz w:val="36"/>
        </w:rPr>
        <w:t>目  录</w:t>
      </w:r>
    </w:p>
    <w:p>
      <w:pPr>
        <w:pStyle w:val="30"/>
        <w:spacing w:after="120" w:line="360" w:lineRule="auto"/>
        <w:outlineLvl w:val="9"/>
        <w:rPr>
          <w:rFonts w:hAnsi="宋体" w:cs="宋体"/>
          <w:b/>
          <w:sz w:val="36"/>
        </w:rPr>
      </w:pPr>
    </w:p>
    <w:p>
      <w:pPr>
        <w:pStyle w:val="30"/>
        <w:spacing w:line="360" w:lineRule="auto"/>
        <w:rPr>
          <w:rFonts w:hAnsi="宋体" w:cs="宋体"/>
          <w:bCs/>
          <w:sz w:val="24"/>
        </w:rPr>
      </w:pPr>
      <w:r>
        <w:rPr>
          <w:rFonts w:hint="eastAsia" w:hAnsi="宋体" w:cs="宋体"/>
          <w:bCs/>
          <w:sz w:val="24"/>
        </w:rPr>
        <w:t>1、网上竞价承诺书</w:t>
      </w:r>
    </w:p>
    <w:p>
      <w:pPr>
        <w:pStyle w:val="30"/>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30"/>
        <w:spacing w:line="360" w:lineRule="auto"/>
        <w:rPr>
          <w:rFonts w:hAnsi="宋体"/>
          <w:sz w:val="24"/>
        </w:rPr>
      </w:pPr>
      <w:r>
        <w:rPr>
          <w:rFonts w:hint="eastAsia" w:hAnsi="宋体" w:cs="宋体"/>
          <w:bCs/>
          <w:sz w:val="24"/>
        </w:rPr>
        <w:t>3、</w:t>
      </w:r>
      <w:r>
        <w:rPr>
          <w:rFonts w:hint="eastAsia" w:hAnsi="宋体"/>
          <w:sz w:val="24"/>
        </w:rPr>
        <w:t>单位授权书</w:t>
      </w:r>
    </w:p>
    <w:p>
      <w:pPr>
        <w:pStyle w:val="30"/>
        <w:spacing w:line="360" w:lineRule="auto"/>
        <w:rPr>
          <w:rFonts w:hAnsi="宋体"/>
          <w:sz w:val="24"/>
        </w:rPr>
      </w:pPr>
      <w:r>
        <w:rPr>
          <w:rFonts w:hint="eastAsia" w:hAnsi="宋体"/>
          <w:sz w:val="24"/>
        </w:rPr>
        <w:t>4、网上竞价文件要求的其他资格和技术商务材料</w:t>
      </w:r>
    </w:p>
    <w:p>
      <w:pPr>
        <w:pStyle w:val="30"/>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3"/>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3"/>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3"/>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3"/>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3"/>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3"/>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3"/>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3"/>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30"/>
        <w:spacing w:line="360" w:lineRule="auto"/>
        <w:jc w:val="center"/>
        <w:outlineLvl w:val="9"/>
        <w:rPr>
          <w:rFonts w:hAnsi="宋体" w:cs="宋体"/>
          <w:b/>
          <w:szCs w:val="28"/>
        </w:rPr>
      </w:pPr>
      <w:r>
        <w:rPr>
          <w:rFonts w:hint="eastAsia" w:hAnsi="宋体" w:cs="宋体"/>
          <w:b/>
          <w:szCs w:val="28"/>
        </w:rPr>
        <w:t>2、有效营业执照复印件等证明文件</w:t>
      </w:r>
    </w:p>
    <w:p>
      <w:pPr>
        <w:pStyle w:val="30"/>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30"/>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360" w:lineRule="auto"/>
      </w:pPr>
      <w:r>
        <w:rPr>
          <w:rFonts w:hint="eastAsia"/>
        </w:rPr>
        <w:t>致：</w:t>
      </w:r>
      <w:r>
        <w:rPr>
          <w:rFonts w:hint="eastAsia"/>
          <w:u w:val="single"/>
        </w:rPr>
        <w:t>（采购人或采购代理机构）</w:t>
      </w:r>
    </w:p>
    <w:p>
      <w:pPr>
        <w:pStyle w:val="15"/>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pPr>
      <w:r>
        <w:rPr>
          <w:rFonts w:hint="eastAsia"/>
        </w:rPr>
        <w:t>供应商代表无转委权。特此授权。</w:t>
      </w:r>
    </w:p>
    <w:p>
      <w:pPr>
        <w:pStyle w:val="15"/>
        <w:spacing w:before="0" w:beforeAutospacing="0" w:after="0" w:afterAutospacing="0" w:line="360" w:lineRule="auto"/>
        <w:jc w:val="center"/>
        <w:outlineLvl w:val="0"/>
      </w:pPr>
      <w:r>
        <w:rPr>
          <w:rFonts w:hint="eastAsia"/>
        </w:rPr>
        <w:t>（以下无正文）</w:t>
      </w:r>
    </w:p>
    <w:p>
      <w:pPr>
        <w:pStyle w:val="15"/>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360" w:lineRule="auto"/>
      </w:pPr>
      <w:r>
        <w:rPr>
          <w:rFonts w:hint="eastAsia"/>
        </w:rPr>
        <w:t> </w:t>
      </w:r>
    </w:p>
    <w:p>
      <w:pPr>
        <w:pStyle w:val="15"/>
        <w:spacing w:before="0" w:beforeAutospacing="0" w:after="0" w:afterAutospacing="0" w:line="360" w:lineRule="auto"/>
      </w:pPr>
      <w:r>
        <w:rPr>
          <w:rFonts w:hint="eastAsia"/>
        </w:rPr>
        <w:t>授权方</w:t>
      </w:r>
    </w:p>
    <w:p>
      <w:pPr>
        <w:pStyle w:val="15"/>
        <w:spacing w:before="0" w:beforeAutospacing="0" w:after="0" w:afterAutospacing="0" w:line="360" w:lineRule="auto"/>
      </w:pPr>
      <w:r>
        <w:rPr>
          <w:rFonts w:hint="eastAsia"/>
        </w:rPr>
        <w:t>供应商：</w:t>
      </w:r>
      <w:r>
        <w:rPr>
          <w:rFonts w:hint="eastAsia"/>
          <w:u w:val="single"/>
        </w:rPr>
        <w:t>（全称并加盖单位公章）</w:t>
      </w:r>
    </w:p>
    <w:p>
      <w:pPr>
        <w:pStyle w:val="15"/>
        <w:spacing w:before="0" w:beforeAutospacing="0" w:after="0" w:afterAutospacing="0" w:line="360" w:lineRule="auto"/>
      </w:pPr>
      <w:r>
        <w:rPr>
          <w:rFonts w:hint="eastAsia"/>
        </w:rPr>
        <w:t>单位负责人签字或盖章：</w:t>
      </w:r>
      <w:r>
        <w:rPr>
          <w:rFonts w:hint="eastAsia"/>
          <w:u w:val="single"/>
        </w:rPr>
        <w:t>                   </w:t>
      </w:r>
    </w:p>
    <w:p>
      <w:pPr>
        <w:pStyle w:val="15"/>
        <w:spacing w:before="0" w:beforeAutospacing="0" w:after="0" w:afterAutospacing="0" w:line="360" w:lineRule="auto"/>
      </w:pPr>
      <w:r>
        <w:rPr>
          <w:rFonts w:hint="eastAsia"/>
        </w:rPr>
        <w:t> </w:t>
      </w:r>
    </w:p>
    <w:p>
      <w:pPr>
        <w:pStyle w:val="15"/>
        <w:spacing w:before="0" w:beforeAutospacing="0" w:after="0" w:afterAutospacing="0" w:line="360" w:lineRule="auto"/>
      </w:pPr>
      <w:r>
        <w:rPr>
          <w:rFonts w:hint="eastAsia"/>
        </w:rPr>
        <w:t>接受授权方</w:t>
      </w:r>
    </w:p>
    <w:p>
      <w:pPr>
        <w:pStyle w:val="15"/>
        <w:spacing w:before="0" w:beforeAutospacing="0" w:after="0" w:afterAutospacing="0" w:line="360" w:lineRule="auto"/>
      </w:pPr>
      <w:r>
        <w:rPr>
          <w:rFonts w:hint="eastAsia"/>
        </w:rPr>
        <w:t>供应商代表签字：</w:t>
      </w:r>
      <w:r>
        <w:rPr>
          <w:rFonts w:hint="eastAsia"/>
          <w:u w:val="single"/>
        </w:rPr>
        <w:t>                   </w:t>
      </w:r>
    </w:p>
    <w:p>
      <w:pPr>
        <w:pStyle w:val="15"/>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pPr>
            <w:r>
              <w:rPr>
                <w:rStyle w:val="23"/>
                <w:rFonts w:hint="eastAsia"/>
              </w:rPr>
              <w:t> </w:t>
            </w:r>
          </w:p>
          <w:p>
            <w:pPr>
              <w:pStyle w:val="15"/>
              <w:spacing w:before="0" w:beforeAutospacing="0" w:after="0" w:afterAutospacing="0" w:line="360" w:lineRule="auto"/>
              <w:jc w:val="center"/>
            </w:pPr>
            <w:r>
              <w:rPr>
                <w:rStyle w:val="23"/>
                <w:rFonts w:hint="eastAsia"/>
              </w:rPr>
              <w:t>要求：真实有效且内容完整、清晰、整洁。</w:t>
            </w:r>
          </w:p>
          <w:p>
            <w:pPr>
              <w:pStyle w:val="15"/>
              <w:spacing w:before="0" w:beforeAutospacing="0" w:after="0" w:afterAutospacing="0" w:line="360" w:lineRule="auto"/>
              <w:jc w:val="center"/>
            </w:pPr>
            <w:r>
              <w:rPr>
                <w:rStyle w:val="23"/>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4"/>
        <w:spacing w:line="360" w:lineRule="auto"/>
        <w:rPr>
          <w:rFonts w:ascii="Times New Roman" w:hAnsi="Times New Roman"/>
        </w:rPr>
      </w:pPr>
    </w:p>
    <w:p>
      <w:pPr>
        <w:spacing w:line="360" w:lineRule="auto"/>
        <w:rPr>
          <w:rFonts w:ascii="Times New Roman" w:hAnsi="Times New Roman"/>
          <w:b/>
          <w:sz w:val="32"/>
        </w:rPr>
      </w:pPr>
    </w:p>
    <w:p>
      <w:pPr>
        <w:pStyle w:val="4"/>
        <w:spacing w:line="360" w:lineRule="auto"/>
        <w:rPr>
          <w:rFonts w:ascii="Times New Roman" w:hAnsi="Times New Roman"/>
        </w:rPr>
      </w:pPr>
    </w:p>
    <w:p>
      <w:pPr>
        <w:spacing w:line="360" w:lineRule="auto"/>
        <w:rPr>
          <w:rFonts w:ascii="Times New Roman" w:hAnsi="Times New Roman"/>
          <w:b/>
          <w:sz w:val="32"/>
        </w:rPr>
      </w:pPr>
    </w:p>
    <w:p>
      <w:pPr>
        <w:spacing w:line="240" w:lineRule="auto"/>
        <w:jc w:val="left"/>
        <w:outlineLvl w:val="9"/>
        <w:rPr>
          <w:rFonts w:hint="eastAsia" w:ascii="宋体" w:hAnsi="宋体"/>
          <w:b/>
          <w:sz w:val="28"/>
          <w:szCs w:val="28"/>
        </w:rPr>
      </w:pPr>
      <w:r>
        <w:rPr>
          <w:rFonts w:hint="eastAsia" w:ascii="宋体" w:hAnsi="宋体"/>
          <w:b/>
          <w:sz w:val="28"/>
          <w:szCs w:val="28"/>
        </w:rPr>
        <w:br w:type="page"/>
      </w: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4"/>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4"/>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4"/>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4"/>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4"/>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4"/>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4"/>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4"/>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4"/>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4"/>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4"/>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4"/>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4"/>
        <w:spacing w:line="360" w:lineRule="auto"/>
        <w:jc w:val="both"/>
        <w:rPr>
          <w:rFonts w:hint="default" w:ascii="宋体" w:hAnsi="宋体" w:cs="宋体"/>
          <w:sz w:val="24"/>
          <w:szCs w:val="24"/>
        </w:rPr>
      </w:pPr>
      <w:r>
        <w:rPr>
          <w:rFonts w:ascii="宋体" w:hAnsi="宋体" w:cs="宋体"/>
          <w:sz w:val="24"/>
          <w:szCs w:val="24"/>
        </w:rPr>
        <w:t>※注意：</w:t>
      </w:r>
    </w:p>
    <w:p>
      <w:pPr>
        <w:pStyle w:val="34"/>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4"/>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4"/>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4"/>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4"/>
        <w:spacing w:line="360" w:lineRule="auto"/>
        <w:jc w:val="both"/>
        <w:rPr>
          <w:rFonts w:hint="default" w:ascii="宋体" w:hAnsi="宋体" w:cs="宋体"/>
          <w:sz w:val="24"/>
          <w:szCs w:val="24"/>
        </w:rPr>
      </w:pPr>
    </w:p>
    <w:p>
      <w:pPr>
        <w:pStyle w:val="34"/>
        <w:spacing w:line="360" w:lineRule="auto"/>
        <w:jc w:val="both"/>
        <w:rPr>
          <w:rFonts w:hint="default" w:ascii="宋体" w:hAnsi="宋体" w:cs="宋体"/>
          <w:sz w:val="24"/>
          <w:szCs w:val="24"/>
        </w:rPr>
      </w:pPr>
    </w:p>
    <w:p>
      <w:pPr>
        <w:pStyle w:val="34"/>
        <w:spacing w:line="360" w:lineRule="auto"/>
        <w:jc w:val="both"/>
        <w:rPr>
          <w:rFonts w:hint="default" w:ascii="宋体" w:hAnsi="宋体" w:cs="宋体"/>
          <w:sz w:val="24"/>
          <w:szCs w:val="24"/>
        </w:rPr>
      </w:pPr>
    </w:p>
    <w:p>
      <w:pPr>
        <w:pStyle w:val="34"/>
        <w:spacing w:line="360" w:lineRule="auto"/>
        <w:jc w:val="both"/>
        <w:rPr>
          <w:rFonts w:hint="default" w:ascii="宋体" w:hAnsi="宋体" w:cs="宋体"/>
          <w:sz w:val="24"/>
          <w:szCs w:val="24"/>
        </w:rPr>
      </w:pPr>
    </w:p>
    <w:p>
      <w:pPr>
        <w:pStyle w:val="8"/>
        <w:spacing w:line="360" w:lineRule="auto"/>
        <w:ind w:left="0" w:leftChars="0"/>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9"/>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9"/>
        <w:spacing w:line="360" w:lineRule="auto"/>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4"/>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ind w:left="0" w:leftChars="0"/>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8"/>
        <w:spacing w:line="360" w:lineRule="auto"/>
        <w:ind w:left="0" w:leftChars="0"/>
        <w:rPr>
          <w:rFonts w:ascii="宋体" w:hAnsi="宋体" w:cs="宋体"/>
          <w:b/>
          <w:bCs/>
          <w:sz w:val="28"/>
          <w:szCs w:val="28"/>
        </w:rPr>
      </w:pPr>
    </w:p>
    <w:p>
      <w:pPr>
        <w:pStyle w:val="9"/>
        <w:spacing w:line="360" w:lineRule="auto"/>
        <w:rPr>
          <w:rFonts w:ascii="宋体" w:hAnsi="宋体" w:cs="宋体"/>
          <w:b/>
          <w:bCs/>
          <w:sz w:val="28"/>
          <w:szCs w:val="28"/>
        </w:rPr>
      </w:pPr>
    </w:p>
    <w:p>
      <w:pPr>
        <w:pStyle w:val="9"/>
        <w:spacing w:line="360" w:lineRule="auto"/>
        <w:rPr>
          <w:rFonts w:ascii="宋体" w:hAnsi="宋体" w:cs="宋体"/>
          <w:b/>
          <w:bCs/>
          <w:sz w:val="28"/>
          <w:szCs w:val="28"/>
        </w:rPr>
      </w:pPr>
    </w:p>
    <w:p>
      <w:pPr>
        <w:pStyle w:val="8"/>
        <w:spacing w:line="360" w:lineRule="auto"/>
        <w:ind w:left="0" w:leftChars="0"/>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9"/>
        <w:spacing w:line="360" w:lineRule="auto"/>
        <w:rPr>
          <w:rFonts w:ascii="宋体" w:hAnsi="宋体" w:cs="宋体"/>
          <w:b/>
          <w:bCs/>
          <w:sz w:val="28"/>
          <w:szCs w:val="28"/>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4"/>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9"/>
        <w:spacing w:line="360" w:lineRule="auto"/>
        <w:rPr>
          <w:rFonts w:ascii="宋体" w:hAnsi="宋体" w:cs="宋体"/>
          <w:b/>
          <w:bCs/>
          <w:sz w:val="28"/>
          <w:szCs w:val="28"/>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4"/>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宋体" w:hAnsi="宋体" w:cs="宋体"/>
          <w:b/>
          <w:bCs/>
          <w:sz w:val="28"/>
          <w:szCs w:val="28"/>
        </w:rPr>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5"/>
        <w:spacing w:line="360" w:lineRule="auto"/>
        <w:rPr>
          <w:rFonts w:ascii="楷体_GB2312" w:eastAsia="楷体_GB2312"/>
          <w:b/>
          <w:sz w:val="40"/>
          <w:szCs w:val="40"/>
        </w:rPr>
      </w:pPr>
    </w:p>
    <w:p>
      <w:pPr>
        <w:pStyle w:val="8"/>
        <w:spacing w:line="360" w:lineRule="auto"/>
        <w:rPr>
          <w:rFonts w:ascii="楷体_GB2312" w:eastAsia="楷体_GB2312"/>
          <w:b/>
          <w:sz w:val="40"/>
          <w:szCs w:val="40"/>
        </w:rPr>
      </w:pPr>
    </w:p>
    <w:p>
      <w:pPr>
        <w:pStyle w:val="5"/>
        <w:spacing w:line="360" w:lineRule="auto"/>
        <w:rPr>
          <w:rFonts w:ascii="楷体_GB2312" w:eastAsia="楷体_GB2312"/>
          <w:b/>
          <w:sz w:val="40"/>
          <w:szCs w:val="40"/>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9"/>
        <w:spacing w:line="360" w:lineRule="auto"/>
        <w:rPr>
          <w:rFonts w:ascii="宋体" w:hAnsi="宋体" w:cs="宋体"/>
          <w:b/>
          <w:bCs/>
          <w:sz w:val="28"/>
          <w:szCs w:val="28"/>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p>
    <w:p>
      <w:pPr>
        <w:pStyle w:val="34"/>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4"/>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rPr>
          <w:rFonts w:ascii="楷体_GB2312" w:eastAsia="楷体_GB2312"/>
          <w:b/>
          <w:sz w:val="44"/>
          <w:szCs w:val="44"/>
        </w:rPr>
      </w:pPr>
    </w:p>
    <w:p>
      <w:pPr>
        <w:pStyle w:val="5"/>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5"/>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5"/>
        <w:spacing w:line="360" w:lineRule="auto"/>
      </w:pPr>
    </w:p>
    <w:p>
      <w:pPr>
        <w:pStyle w:val="8"/>
        <w:spacing w:line="360" w:lineRule="auto"/>
        <w:rPr>
          <w:rFonts w:ascii="楷体_GB2312" w:eastAsia="楷体_GB2312"/>
          <w:b/>
          <w:sz w:val="44"/>
          <w:szCs w:val="44"/>
        </w:rPr>
      </w:pPr>
    </w:p>
    <w:p>
      <w:pPr>
        <w:pStyle w:val="5"/>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5"/>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30"/>
        <w:spacing w:after="120" w:line="360" w:lineRule="auto"/>
        <w:outlineLvl w:val="9"/>
        <w:rPr>
          <w:rStyle w:val="31"/>
          <w:rFonts w:hAnsi="宋体" w:cs="宋体"/>
          <w:b/>
          <w:bCs/>
          <w:sz w:val="44"/>
          <w:szCs w:val="44"/>
        </w:rPr>
      </w:pPr>
    </w:p>
    <w:p>
      <w:pPr>
        <w:pStyle w:val="30"/>
        <w:spacing w:after="120" w:line="360" w:lineRule="auto"/>
        <w:jc w:val="center"/>
        <w:outlineLvl w:val="9"/>
        <w:rPr>
          <w:rStyle w:val="31"/>
          <w:rFonts w:hAnsi="宋体" w:cs="宋体"/>
          <w:b/>
          <w:bCs/>
          <w:sz w:val="44"/>
          <w:szCs w:val="44"/>
        </w:rPr>
      </w:pPr>
      <w:r>
        <w:rPr>
          <w:rStyle w:val="31"/>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3"/>
        <w:spacing w:line="360" w:lineRule="auto"/>
      </w:pPr>
    </w:p>
    <w:p>
      <w:pPr>
        <w:spacing w:line="360" w:lineRule="auto"/>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9"/>
        <w:spacing w:line="360" w:lineRule="auto"/>
      </w:pPr>
    </w:p>
    <w:p>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3"/>
        <w:spacing w:line="360" w:lineRule="auto"/>
        <w:rPr>
          <w:sz w:val="24"/>
          <w:szCs w:val="24"/>
        </w:rPr>
      </w:pPr>
      <w:r>
        <w:rPr>
          <w:rFonts w:hint="eastAsia"/>
          <w:sz w:val="24"/>
          <w:szCs w:val="24"/>
        </w:rPr>
        <w:t xml:space="preserve">项目编号：    </w:t>
      </w:r>
    </w:p>
    <w:p>
      <w:pPr>
        <w:pStyle w:val="3"/>
        <w:spacing w:line="360" w:lineRule="auto"/>
        <w:jc w:val="both"/>
        <w:rPr>
          <w:rFonts w:cs="宋体"/>
          <w:sz w:val="24"/>
        </w:rPr>
      </w:pPr>
      <w:r>
        <w:rPr>
          <w:rFonts w:hint="eastAsia"/>
          <w:sz w:val="24"/>
          <w:szCs w:val="24"/>
        </w:rPr>
        <w:t xml:space="preserve">项目名称: </w:t>
      </w:r>
    </w:p>
    <w:p>
      <w:pPr>
        <w:pStyle w:val="32"/>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2"/>
        <w:spacing w:line="360" w:lineRule="auto"/>
        <w:ind w:firstLine="6240" w:firstLineChars="2600"/>
        <w:rPr>
          <w:rFonts w:ascii="宋体" w:hAnsi="宋体"/>
          <w:sz w:val="24"/>
        </w:rPr>
      </w:pPr>
    </w:p>
    <w:p>
      <w:pPr>
        <w:pStyle w:val="32"/>
        <w:spacing w:line="360" w:lineRule="auto"/>
        <w:ind w:firstLine="6240" w:firstLineChars="2600"/>
        <w:rPr>
          <w:rFonts w:ascii="宋体" w:hAnsi="宋体"/>
          <w:sz w:val="24"/>
        </w:rPr>
      </w:pPr>
    </w:p>
    <w:p>
      <w:pPr>
        <w:pStyle w:val="32"/>
        <w:spacing w:line="360" w:lineRule="auto"/>
        <w:ind w:firstLine="6240" w:firstLineChars="2600"/>
        <w:rPr>
          <w:rFonts w:ascii="宋体" w:hAnsi="宋体"/>
          <w:sz w:val="24"/>
        </w:rPr>
      </w:pPr>
    </w:p>
    <w:p>
      <w:pPr>
        <w:pStyle w:val="15"/>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numPr>
          <w:ilvl w:val="0"/>
          <w:numId w:val="4"/>
        </w:numPr>
        <w:spacing w:line="360" w:lineRule="auto"/>
        <w:jc w:val="center"/>
      </w:pPr>
      <w:r>
        <w:br w:type="page"/>
      </w:r>
    </w:p>
    <w:p>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3"/>
        <w:spacing w:line="360" w:lineRule="auto"/>
        <w:rPr>
          <w:sz w:val="24"/>
          <w:szCs w:val="24"/>
        </w:rPr>
      </w:pPr>
      <w:r>
        <w:rPr>
          <w:rFonts w:hint="eastAsia"/>
          <w:sz w:val="24"/>
          <w:szCs w:val="24"/>
        </w:rPr>
        <w:t xml:space="preserve">项目编号：    </w:t>
      </w:r>
    </w:p>
    <w:p>
      <w:pPr>
        <w:pStyle w:val="3"/>
        <w:spacing w:line="360" w:lineRule="auto"/>
        <w:jc w:val="both"/>
        <w:rPr>
          <w:rFonts w:cs="宋体"/>
          <w:sz w:val="24"/>
        </w:rPr>
      </w:pPr>
      <w:r>
        <w:rPr>
          <w:rFonts w:hint="eastAsia"/>
          <w:sz w:val="24"/>
          <w:szCs w:val="24"/>
        </w:rPr>
        <w:t xml:space="preserve">项目名称: </w:t>
      </w:r>
    </w:p>
    <w:p>
      <w:pPr>
        <w:pStyle w:val="32"/>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2"/>
        <w:spacing w:line="360" w:lineRule="auto"/>
        <w:ind w:firstLine="6240" w:firstLineChars="2600"/>
        <w:rPr>
          <w:rFonts w:ascii="宋体" w:hAnsi="宋体"/>
          <w:sz w:val="24"/>
        </w:rPr>
      </w:pPr>
    </w:p>
    <w:p>
      <w:pPr>
        <w:pStyle w:val="32"/>
        <w:spacing w:line="360" w:lineRule="auto"/>
        <w:ind w:firstLine="6240" w:firstLineChars="2600"/>
        <w:rPr>
          <w:rFonts w:ascii="宋体" w:hAnsi="宋体"/>
          <w:sz w:val="24"/>
        </w:rPr>
      </w:pPr>
    </w:p>
    <w:p>
      <w:pPr>
        <w:pStyle w:val="15"/>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9B0457B"/>
    <w:rsid w:val="09E518F1"/>
    <w:rsid w:val="0B783442"/>
    <w:rsid w:val="0C684C71"/>
    <w:rsid w:val="0F1D0A28"/>
    <w:rsid w:val="11670892"/>
    <w:rsid w:val="13B1041F"/>
    <w:rsid w:val="1620180A"/>
    <w:rsid w:val="192161CD"/>
    <w:rsid w:val="19BA661F"/>
    <w:rsid w:val="1A4830AF"/>
    <w:rsid w:val="1E897F61"/>
    <w:rsid w:val="1F850A91"/>
    <w:rsid w:val="20015463"/>
    <w:rsid w:val="200612F5"/>
    <w:rsid w:val="227368C5"/>
    <w:rsid w:val="26CC160F"/>
    <w:rsid w:val="27C42B43"/>
    <w:rsid w:val="28847CD2"/>
    <w:rsid w:val="28AD5641"/>
    <w:rsid w:val="28EB517F"/>
    <w:rsid w:val="29181EA6"/>
    <w:rsid w:val="2A23138B"/>
    <w:rsid w:val="2A2D3EB3"/>
    <w:rsid w:val="2A3E2317"/>
    <w:rsid w:val="2BD524DE"/>
    <w:rsid w:val="2D445163"/>
    <w:rsid w:val="2DE10840"/>
    <w:rsid w:val="2EFC6C91"/>
    <w:rsid w:val="30C16C85"/>
    <w:rsid w:val="31CE533B"/>
    <w:rsid w:val="320F1026"/>
    <w:rsid w:val="32150335"/>
    <w:rsid w:val="33747367"/>
    <w:rsid w:val="346D3C94"/>
    <w:rsid w:val="354E2190"/>
    <w:rsid w:val="358048FA"/>
    <w:rsid w:val="35ED2D88"/>
    <w:rsid w:val="382341D6"/>
    <w:rsid w:val="399D77AD"/>
    <w:rsid w:val="3B1D28DC"/>
    <w:rsid w:val="3B7F431D"/>
    <w:rsid w:val="3C3825DD"/>
    <w:rsid w:val="3D3F6F1C"/>
    <w:rsid w:val="3E135735"/>
    <w:rsid w:val="3E5E6414"/>
    <w:rsid w:val="3E795988"/>
    <w:rsid w:val="435B2651"/>
    <w:rsid w:val="44A73530"/>
    <w:rsid w:val="44D75188"/>
    <w:rsid w:val="46923296"/>
    <w:rsid w:val="46E10C60"/>
    <w:rsid w:val="47C80021"/>
    <w:rsid w:val="495F5E6E"/>
    <w:rsid w:val="4AE011B9"/>
    <w:rsid w:val="4AE30836"/>
    <w:rsid w:val="4C7B3E93"/>
    <w:rsid w:val="4CE2174D"/>
    <w:rsid w:val="4D620879"/>
    <w:rsid w:val="4F543728"/>
    <w:rsid w:val="50D32533"/>
    <w:rsid w:val="517949D7"/>
    <w:rsid w:val="51901D96"/>
    <w:rsid w:val="51C17A07"/>
    <w:rsid w:val="56813DA2"/>
    <w:rsid w:val="56A046B9"/>
    <w:rsid w:val="56DB1A01"/>
    <w:rsid w:val="57520F6D"/>
    <w:rsid w:val="584B5258"/>
    <w:rsid w:val="592F4BEA"/>
    <w:rsid w:val="5DBF39CE"/>
    <w:rsid w:val="5EE02541"/>
    <w:rsid w:val="5FD517CA"/>
    <w:rsid w:val="626D1C45"/>
    <w:rsid w:val="65586B09"/>
    <w:rsid w:val="663051CA"/>
    <w:rsid w:val="67F554D5"/>
    <w:rsid w:val="685A4FB9"/>
    <w:rsid w:val="68BC5088"/>
    <w:rsid w:val="6EBA2DB8"/>
    <w:rsid w:val="73142424"/>
    <w:rsid w:val="73BD4A2D"/>
    <w:rsid w:val="742835D1"/>
    <w:rsid w:val="75627BBA"/>
    <w:rsid w:val="75A86128"/>
    <w:rsid w:val="76312F72"/>
    <w:rsid w:val="76A82938"/>
    <w:rsid w:val="78F92E48"/>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6"/>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autoRedefine/>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7"/>
    <w:next w:val="19"/>
    <w:autoRedefine/>
    <w:qFormat/>
    <w:uiPriority w:val="0"/>
    <w:pPr>
      <w:ind w:firstLine="420" w:firstLineChars="100"/>
    </w:pPr>
    <w:rPr>
      <w:rFonts w:ascii="Times New Roman" w:hAnsi="Times New Roman"/>
      <w:szCs w:val="20"/>
    </w:rPr>
  </w:style>
  <w:style w:type="paragraph" w:styleId="19">
    <w:name w:val="Body Text First Indent 2"/>
    <w:basedOn w:val="8"/>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Emphasis"/>
    <w:autoRedefine/>
    <w:qFormat/>
    <w:uiPriority w:val="20"/>
    <w:rPr>
      <w:i/>
      <w:iCs/>
    </w:rPr>
  </w:style>
  <w:style w:type="character" w:styleId="25">
    <w:name w:val="Hyperlink"/>
    <w:basedOn w:val="22"/>
    <w:autoRedefine/>
    <w:qFormat/>
    <w:uiPriority w:val="0"/>
    <w:rPr>
      <w:color w:val="0000FF"/>
      <w:u w:val="single"/>
    </w:rPr>
  </w:style>
  <w:style w:type="character" w:styleId="26">
    <w:name w:val="annotation reference"/>
    <w:basedOn w:val="22"/>
    <w:autoRedefine/>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表格文字"/>
    <w:basedOn w:val="1"/>
    <w:next w:val="7"/>
    <w:autoRedefine/>
    <w:qFormat/>
    <w:uiPriority w:val="0"/>
    <w:pPr>
      <w:adjustRightInd w:val="0"/>
      <w:spacing w:line="420" w:lineRule="atLeast"/>
      <w:jc w:val="left"/>
      <w:textAlignment w:val="baseline"/>
    </w:pPr>
    <w:rPr>
      <w:kern w:val="0"/>
      <w:szCs w:val="20"/>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样式3"/>
    <w:basedOn w:val="10"/>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2"/>
    <w:link w:val="14"/>
    <w:autoRedefine/>
    <w:qFormat/>
    <w:uiPriority w:val="0"/>
    <w:rPr>
      <w:rFonts w:ascii="Calibri" w:hAnsi="Calibri"/>
      <w:kern w:val="2"/>
      <w:sz w:val="18"/>
      <w:szCs w:val="18"/>
    </w:rPr>
  </w:style>
  <w:style w:type="character" w:customStyle="1" w:styleId="36">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14855</Words>
  <Characters>15636</Characters>
  <Lines>113</Lines>
  <Paragraphs>31</Paragraphs>
  <TotalTime>4</TotalTime>
  <ScaleCrop>false</ScaleCrop>
  <LinksUpToDate>false</LinksUpToDate>
  <CharactersWithSpaces>16301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2024-08-30T06:40:31Z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18069D13E235424B941474FED2C13958_13</vt:lpwstr>
  </property>
</Properties>
</file>